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81D1" w14:textId="77777777" w:rsidR="00E9149E" w:rsidRDefault="00E9149E" w:rsidP="00487726">
      <w:pPr>
        <w:pStyle w:val="berschrift1"/>
        <w:ind w:left="0" w:firstLine="0"/>
        <w:jc w:val="center"/>
        <w:rPr>
          <w:rFonts w:eastAsia="Calibri"/>
          <w:sz w:val="32"/>
          <w:szCs w:val="32"/>
        </w:rPr>
      </w:pPr>
      <w:r w:rsidRPr="00487726">
        <w:rPr>
          <w:rFonts w:eastAsia="Calibri"/>
          <w:sz w:val="32"/>
          <w:szCs w:val="32"/>
        </w:rPr>
        <w:t>Vertragsergänzung</w:t>
      </w:r>
    </w:p>
    <w:p w14:paraId="766481D2" w14:textId="77777777" w:rsidR="007D5418" w:rsidRPr="007D5418" w:rsidRDefault="007D5418" w:rsidP="007D5418">
      <w:pPr>
        <w:rPr>
          <w:rFonts w:eastAsia="Calibri"/>
        </w:rPr>
      </w:pPr>
    </w:p>
    <w:p w14:paraId="766481D3" w14:textId="77777777" w:rsidR="007D5418" w:rsidRPr="00934678" w:rsidRDefault="00E9149E" w:rsidP="00934678">
      <w:pPr>
        <w:jc w:val="center"/>
        <w:rPr>
          <w:rFonts w:eastAsia="Calibri"/>
        </w:rPr>
      </w:pPr>
      <w:r w:rsidRPr="007D5418">
        <w:rPr>
          <w:rFonts w:eastAsia="Calibri"/>
        </w:rPr>
        <w:t>zur Zusatzvereinbarung über die Nutzung der</w:t>
      </w:r>
      <w:r w:rsidR="0087421A" w:rsidRPr="007D5418">
        <w:rPr>
          <w:rFonts w:eastAsia="Calibri"/>
        </w:rPr>
        <w:t xml:space="preserve"> </w:t>
      </w:r>
      <w:r w:rsidRPr="007D5418">
        <w:rPr>
          <w:rFonts w:eastAsia="Calibri"/>
        </w:rPr>
        <w:t>elektronischen Vorabstimmungsschnittstelle (WBCI)</w:t>
      </w:r>
    </w:p>
    <w:p w14:paraId="766481D4" w14:textId="77777777" w:rsidR="00E9149E" w:rsidRPr="00487726" w:rsidRDefault="00F94D05" w:rsidP="00487726">
      <w:pPr>
        <w:pStyle w:val="berschrift1"/>
        <w:ind w:left="0" w:firstLine="0"/>
        <w:jc w:val="center"/>
        <w:rPr>
          <w:rFonts w:eastAsia="Calibri"/>
          <w:sz w:val="20"/>
          <w:szCs w:val="20"/>
        </w:rPr>
      </w:pPr>
      <w:r w:rsidRPr="002D2922">
        <w:rPr>
          <w:rFonts w:eastAsia="Calibri"/>
          <w:sz w:val="20"/>
          <w:szCs w:val="20"/>
        </w:rPr>
        <w:t>über das besondere Verfahren für Erklärungen des Endkunden im Zusammenhang mit dem Anbieterwechsel und Rufnummernübertragung</w:t>
      </w:r>
      <w:r w:rsidR="00441BEE">
        <w:rPr>
          <w:rFonts w:eastAsia="Calibri"/>
          <w:sz w:val="20"/>
          <w:szCs w:val="20"/>
        </w:rPr>
        <w:t xml:space="preserve"> bei Ablehnung der Vorabstimmungsanfrage wegen NWE (neue Willenserklärung des </w:t>
      </w:r>
      <w:r w:rsidR="00E749AB">
        <w:rPr>
          <w:rFonts w:eastAsia="Calibri"/>
          <w:sz w:val="20"/>
          <w:szCs w:val="20"/>
        </w:rPr>
        <w:t>Endkunden</w:t>
      </w:r>
      <w:r w:rsidR="00441BEE">
        <w:rPr>
          <w:rFonts w:eastAsia="Calibri"/>
          <w:sz w:val="20"/>
          <w:szCs w:val="20"/>
        </w:rPr>
        <w:t>)</w:t>
      </w:r>
    </w:p>
    <w:p w14:paraId="766481D5" w14:textId="77777777" w:rsidR="002A5A88" w:rsidRDefault="002A5A88" w:rsidP="00487726">
      <w:pPr>
        <w:rPr>
          <w:rFonts w:eastAsia="Calibri"/>
        </w:rPr>
      </w:pPr>
    </w:p>
    <w:p w14:paraId="766481D6" w14:textId="77777777" w:rsidR="00E9149E" w:rsidRDefault="00E9149E" w:rsidP="00487726">
      <w:pPr>
        <w:pStyle w:val="Body"/>
        <w:jc w:val="center"/>
      </w:pPr>
      <w:r w:rsidRPr="00705118">
        <w:t>zwischen</w:t>
      </w:r>
    </w:p>
    <w:p w14:paraId="766481D7" w14:textId="77777777" w:rsidR="00E9149E" w:rsidRDefault="00E9149E" w:rsidP="00E9149E">
      <w:pPr>
        <w:pStyle w:val="Body"/>
      </w:pPr>
    </w:p>
    <w:p w14:paraId="766481D8" w14:textId="77777777" w:rsidR="00E9149E" w:rsidRDefault="00E9149E" w:rsidP="00E9149E">
      <w:pPr>
        <w:pStyle w:val="Parties"/>
        <w:jc w:val="left"/>
      </w:pPr>
      <w:r w:rsidRPr="00666947">
        <w:rPr>
          <w:b/>
        </w:rPr>
        <w:t>Anbieter 1</w:t>
      </w:r>
      <w:r>
        <w:rPr>
          <w:b/>
        </w:rPr>
        <w:t>]</w:t>
      </w:r>
      <w:r>
        <w:br/>
        <w:t>[Straße]</w:t>
      </w:r>
      <w:r>
        <w:br/>
        <w:t>[Ort]</w:t>
      </w:r>
    </w:p>
    <w:p w14:paraId="766481D9" w14:textId="77777777" w:rsidR="00E9149E" w:rsidRDefault="00E9149E" w:rsidP="00934678">
      <w:pPr>
        <w:pStyle w:val="Body"/>
        <w:jc w:val="right"/>
      </w:pPr>
      <w:r>
        <w:t xml:space="preserve">- im Folgenden </w:t>
      </w:r>
      <w:r>
        <w:rPr>
          <w:b/>
        </w:rPr>
        <w:t>“[Name Anbieter 1]”</w:t>
      </w:r>
      <w:r>
        <w:t xml:space="preserve"> -</w:t>
      </w:r>
    </w:p>
    <w:p w14:paraId="766481DA" w14:textId="77777777" w:rsidR="00E9149E" w:rsidRDefault="00E9149E" w:rsidP="00E9149E">
      <w:pPr>
        <w:pStyle w:val="Body"/>
      </w:pPr>
      <w:r>
        <w:t>und</w:t>
      </w:r>
    </w:p>
    <w:p w14:paraId="766481DB" w14:textId="77777777" w:rsidR="00E9149E" w:rsidRDefault="00E9149E" w:rsidP="00E9149E">
      <w:pPr>
        <w:pStyle w:val="Body"/>
      </w:pPr>
    </w:p>
    <w:p w14:paraId="766481DC" w14:textId="77777777" w:rsidR="00E9149E" w:rsidRDefault="00E9149E" w:rsidP="00E9149E">
      <w:pPr>
        <w:pStyle w:val="Parties"/>
        <w:jc w:val="left"/>
      </w:pPr>
      <w:r>
        <w:rPr>
          <w:b/>
        </w:rPr>
        <w:t>[Anbieter 2]</w:t>
      </w:r>
      <w:r>
        <w:br/>
        <w:t>[Straße]</w:t>
      </w:r>
      <w:r>
        <w:br/>
        <w:t>[Ort]</w:t>
      </w:r>
    </w:p>
    <w:p w14:paraId="766481DD" w14:textId="77777777" w:rsidR="00E9149E" w:rsidRPr="00767097" w:rsidRDefault="00E9149E" w:rsidP="00E9149E">
      <w:pPr>
        <w:pStyle w:val="Body"/>
        <w:jc w:val="right"/>
      </w:pPr>
      <w:r w:rsidRPr="00556FAB">
        <w:rPr>
          <w:lang w:val="en-US"/>
        </w:rPr>
        <w:t xml:space="preserve">- </w:t>
      </w:r>
      <w:proofErr w:type="spellStart"/>
      <w:r w:rsidRPr="00556FAB">
        <w:rPr>
          <w:lang w:val="en-US"/>
        </w:rPr>
        <w:t>im</w:t>
      </w:r>
      <w:proofErr w:type="spellEnd"/>
      <w:r w:rsidRPr="00556FAB">
        <w:rPr>
          <w:lang w:val="en-US"/>
        </w:rPr>
        <w:t xml:space="preserve"> </w:t>
      </w:r>
      <w:proofErr w:type="spellStart"/>
      <w:r w:rsidRPr="00556FAB">
        <w:rPr>
          <w:lang w:val="en-US"/>
        </w:rPr>
        <w:t>Folgenden</w:t>
      </w:r>
      <w:proofErr w:type="spellEnd"/>
      <w:r w:rsidRPr="00556FAB">
        <w:rPr>
          <w:lang w:val="en-US"/>
        </w:rPr>
        <w:t xml:space="preserve"> </w:t>
      </w:r>
      <w:r w:rsidRPr="00556FAB">
        <w:rPr>
          <w:b/>
          <w:lang w:val="en-US"/>
        </w:rPr>
        <w:t xml:space="preserve">“[Name </w:t>
      </w:r>
      <w:proofErr w:type="spellStart"/>
      <w:r w:rsidRPr="00556FAB">
        <w:rPr>
          <w:b/>
          <w:lang w:val="en-US"/>
        </w:rPr>
        <w:t>Anbieter</w:t>
      </w:r>
      <w:proofErr w:type="spellEnd"/>
      <w:r w:rsidRPr="00556FAB">
        <w:rPr>
          <w:b/>
          <w:lang w:val="en-US"/>
        </w:rPr>
        <w:t xml:space="preserve"> 2]”</w:t>
      </w:r>
      <w:r w:rsidRPr="00556FAB">
        <w:rPr>
          <w:lang w:val="en-US"/>
        </w:rPr>
        <w:t xml:space="preserve"> -</w:t>
      </w:r>
    </w:p>
    <w:p w14:paraId="766481DE" w14:textId="77777777" w:rsidR="00E9149E" w:rsidRPr="00767097" w:rsidRDefault="00E9149E" w:rsidP="00E9149E">
      <w:pPr>
        <w:pStyle w:val="Body"/>
        <w:jc w:val="right"/>
      </w:pPr>
    </w:p>
    <w:p w14:paraId="766481DF" w14:textId="77777777" w:rsidR="00E9149E" w:rsidRDefault="00E9149E" w:rsidP="00E9149E">
      <w:pPr>
        <w:pStyle w:val="Body"/>
        <w:jc w:val="right"/>
      </w:pPr>
      <w:r w:rsidRPr="00432AFE">
        <w:t xml:space="preserve">- </w:t>
      </w:r>
      <w:r>
        <w:t>[Name Anbieter 1]</w:t>
      </w:r>
      <w:r w:rsidRPr="00432AFE">
        <w:t xml:space="preserve"> und </w:t>
      </w:r>
      <w:r>
        <w:t>[Name Anbieter 2]</w:t>
      </w:r>
      <w:r w:rsidRPr="00432AFE">
        <w:t xml:space="preserve"> im Folgenden einzeln </w:t>
      </w:r>
      <w:r w:rsidRPr="00432AFE">
        <w:rPr>
          <w:b/>
        </w:rPr>
        <w:t>“</w:t>
      </w:r>
      <w:r>
        <w:rPr>
          <w:b/>
        </w:rPr>
        <w:t>Vertragsp</w:t>
      </w:r>
      <w:r w:rsidRPr="00432AFE">
        <w:rPr>
          <w:b/>
        </w:rPr>
        <w:t>artei”</w:t>
      </w:r>
      <w:r w:rsidRPr="00432AFE">
        <w:rPr>
          <w:b/>
        </w:rPr>
        <w:br/>
      </w:r>
      <w:r w:rsidRPr="00432AFE">
        <w:t xml:space="preserve">und gemeinsam </w:t>
      </w:r>
      <w:r w:rsidRPr="00432AFE">
        <w:rPr>
          <w:b/>
        </w:rPr>
        <w:t>“</w:t>
      </w:r>
      <w:r>
        <w:rPr>
          <w:b/>
        </w:rPr>
        <w:t>Vertragsparteien</w:t>
      </w:r>
      <w:r w:rsidRPr="00432AFE">
        <w:rPr>
          <w:b/>
        </w:rPr>
        <w:t>”</w:t>
      </w:r>
      <w:r w:rsidRPr="00432AFE">
        <w:t xml:space="preserve"> –</w:t>
      </w:r>
    </w:p>
    <w:p w14:paraId="766481E0" w14:textId="77777777" w:rsidR="005B74CB" w:rsidRPr="00432AFE" w:rsidRDefault="005B74CB" w:rsidP="00E9149E">
      <w:pPr>
        <w:pStyle w:val="Body"/>
        <w:jc w:val="right"/>
      </w:pPr>
    </w:p>
    <w:p w14:paraId="766481E1" w14:textId="77777777" w:rsidR="00AA247B" w:rsidRDefault="0091189A" w:rsidP="001443C8">
      <w:pPr>
        <w:rPr>
          <w:b/>
        </w:rPr>
      </w:pPr>
      <w:r>
        <w:rPr>
          <w:noProof/>
        </w:rPr>
        <mc:AlternateContent>
          <mc:Choice Requires="wps">
            <w:drawing>
              <wp:anchor distT="45720" distB="45720" distL="114300" distR="114300" simplePos="0" relativeHeight="251657728" behindDoc="0" locked="0" layoutInCell="1" allowOverlap="1" wp14:anchorId="7664824C" wp14:editId="7664824D">
                <wp:simplePos x="0" y="0"/>
                <wp:positionH relativeFrom="column">
                  <wp:posOffset>81915</wp:posOffset>
                </wp:positionH>
                <wp:positionV relativeFrom="paragraph">
                  <wp:posOffset>154305</wp:posOffset>
                </wp:positionV>
                <wp:extent cx="5594350" cy="2800350"/>
                <wp:effectExtent l="10160" t="8255" r="5715" b="1079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800350"/>
                        </a:xfrm>
                        <a:prstGeom prst="rect">
                          <a:avLst/>
                        </a:prstGeom>
                        <a:solidFill>
                          <a:srgbClr val="FFFFFF"/>
                        </a:solidFill>
                        <a:ln w="9525">
                          <a:solidFill>
                            <a:srgbClr val="FF0000"/>
                          </a:solidFill>
                          <a:miter lim="800000"/>
                          <a:headEnd/>
                          <a:tailEnd/>
                        </a:ln>
                      </wps:spPr>
                      <wps:txbx>
                        <w:txbxContent>
                          <w:p w14:paraId="7664825B" w14:textId="77777777" w:rsidR="005B74CB" w:rsidRPr="007D5418" w:rsidRDefault="005B74CB" w:rsidP="00CB79A8">
                            <w:pPr>
                              <w:spacing w:after="120"/>
                              <w:jc w:val="center"/>
                              <w:rPr>
                                <w:b/>
                                <w:i/>
                                <w:color w:val="FF0000"/>
                              </w:rPr>
                            </w:pPr>
                            <w:r w:rsidRPr="007D5418">
                              <w:rPr>
                                <w:b/>
                                <w:i/>
                                <w:color w:val="FF0000"/>
                              </w:rPr>
                              <w:t>Hinweis für den Verwender:</w:t>
                            </w:r>
                          </w:p>
                          <w:p w14:paraId="7664825C" w14:textId="77777777" w:rsidR="004A2BF8" w:rsidRDefault="005B74CB" w:rsidP="004A2BF8">
                            <w:pPr>
                              <w:numPr>
                                <w:ilvl w:val="0"/>
                                <w:numId w:val="2"/>
                              </w:numPr>
                              <w:spacing w:after="60"/>
                              <w:ind w:left="714" w:hanging="357"/>
                              <w:rPr>
                                <w:i/>
                                <w:color w:val="FF0000"/>
                              </w:rPr>
                            </w:pPr>
                            <w:r w:rsidRPr="007D5418">
                              <w:rPr>
                                <w:i/>
                                <w:color w:val="FF0000"/>
                              </w:rPr>
                              <w:t xml:space="preserve">Dieses Dokument ist ein </w:t>
                            </w:r>
                            <w:r w:rsidR="0091189A">
                              <w:rPr>
                                <w:i/>
                                <w:color w:val="FF0000"/>
                              </w:rPr>
                              <w:t>vom Arbeitskreis Schnittstellen und Prozesse</w:t>
                            </w:r>
                            <w:r w:rsidR="00DF45A2">
                              <w:rPr>
                                <w:i/>
                                <w:color w:val="FF0000"/>
                              </w:rPr>
                              <w:t xml:space="preserve"> entworfenes und empfohlenes </w:t>
                            </w:r>
                            <w:r w:rsidRPr="007D5418">
                              <w:rPr>
                                <w:i/>
                                <w:color w:val="FF0000"/>
                              </w:rPr>
                              <w:t xml:space="preserve">Musterdokument für die Vereinbarung von Haftungsregelungen in Zusammenhang mit der Verwendung des Meldecodes „NWE“. </w:t>
                            </w:r>
                          </w:p>
                          <w:p w14:paraId="7664825D" w14:textId="77777777" w:rsidR="004A2BF8" w:rsidRDefault="00862999" w:rsidP="004A2BF8">
                            <w:pPr>
                              <w:numPr>
                                <w:ilvl w:val="0"/>
                                <w:numId w:val="2"/>
                              </w:numPr>
                              <w:spacing w:after="60"/>
                              <w:ind w:left="714" w:hanging="357"/>
                              <w:rPr>
                                <w:i/>
                                <w:color w:val="FF0000"/>
                              </w:rPr>
                            </w:pPr>
                            <w:r>
                              <w:rPr>
                                <w:i/>
                                <w:color w:val="FF0000"/>
                              </w:rPr>
                              <w:t>Zur Wirksamkeit</w:t>
                            </w:r>
                            <w:r w:rsidR="004A2BF8">
                              <w:rPr>
                                <w:i/>
                                <w:color w:val="FF0000"/>
                              </w:rPr>
                              <w:t xml:space="preserve"> der Regelungen ist der gesonderte, bilaterale Abschluss dieser Vereinbarung zwischen den WBCI-Partnern erforderlich. Eine Verpflichtung zum Abschluss besteht nicht.</w:t>
                            </w:r>
                          </w:p>
                          <w:p w14:paraId="7664825E" w14:textId="77777777" w:rsidR="00934678" w:rsidRPr="00934678" w:rsidRDefault="005B74CB" w:rsidP="00934678">
                            <w:pPr>
                              <w:numPr>
                                <w:ilvl w:val="0"/>
                                <w:numId w:val="2"/>
                              </w:numPr>
                              <w:spacing w:after="60"/>
                              <w:ind w:left="714" w:hanging="357"/>
                              <w:rPr>
                                <w:i/>
                                <w:color w:val="FF0000"/>
                              </w:rPr>
                            </w:pPr>
                            <w:r w:rsidRPr="007D5418">
                              <w:rPr>
                                <w:i/>
                                <w:color w:val="FF0000"/>
                              </w:rPr>
                              <w:t xml:space="preserve">Die gelb markierten Textbestandteile </w:t>
                            </w:r>
                            <w:r w:rsidR="00934678">
                              <w:rPr>
                                <w:i/>
                                <w:color w:val="FF0000"/>
                              </w:rPr>
                              <w:t>wurden von ei</w:t>
                            </w:r>
                            <w:r w:rsidR="008C120E">
                              <w:rPr>
                                <w:i/>
                                <w:color w:val="FF0000"/>
                              </w:rPr>
                              <w:t>nzelnen Unternehmen eingebracht, jedoch nicht einstimmig als notwendige Bestandteile der Empfehlung angesehen.</w:t>
                            </w:r>
                            <w:r w:rsidR="00934678">
                              <w:rPr>
                                <w:i/>
                                <w:color w:val="FF0000"/>
                              </w:rPr>
                              <w:t xml:space="preserve"> </w:t>
                            </w:r>
                            <w:r w:rsidR="008C120E">
                              <w:rPr>
                                <w:i/>
                                <w:color w:val="FF0000"/>
                              </w:rPr>
                              <w:t xml:space="preserve">Sie </w:t>
                            </w:r>
                            <w:r w:rsidRPr="007D5418">
                              <w:rPr>
                                <w:i/>
                                <w:color w:val="FF0000"/>
                              </w:rPr>
                              <w:t>stellen</w:t>
                            </w:r>
                            <w:r w:rsidR="008C120E">
                              <w:rPr>
                                <w:i/>
                                <w:color w:val="FF0000"/>
                              </w:rPr>
                              <w:t xml:space="preserve"> daher</w:t>
                            </w:r>
                            <w:r w:rsidRPr="007D5418">
                              <w:rPr>
                                <w:i/>
                                <w:color w:val="FF0000"/>
                              </w:rPr>
                              <w:t xml:space="preserve"> optionale Regelungen dar</w:t>
                            </w:r>
                            <w:r w:rsidR="00CB79A8" w:rsidRPr="007D5418">
                              <w:rPr>
                                <w:i/>
                                <w:color w:val="FF0000"/>
                              </w:rPr>
                              <w:t>, die individuell zwischen den Vertragsparteien gewählt werden können.</w:t>
                            </w:r>
                            <w:r w:rsidRPr="007D5418">
                              <w:rPr>
                                <w:i/>
                                <w:color w:val="FF0000"/>
                              </w:rPr>
                              <w:t xml:space="preserve"> </w:t>
                            </w:r>
                            <w:r w:rsidR="008C120E">
                              <w:rPr>
                                <w:i/>
                                <w:color w:val="FF0000"/>
                              </w:rPr>
                              <w:t>Mögliche r</w:t>
                            </w:r>
                            <w:r w:rsidR="00934678">
                              <w:rPr>
                                <w:i/>
                                <w:color w:val="FF0000"/>
                              </w:rPr>
                              <w:t xml:space="preserve">echtliche Auswirkungen dieser Regelungen </w:t>
                            </w:r>
                            <w:r w:rsidR="00934678" w:rsidRPr="00934678">
                              <w:rPr>
                                <w:i/>
                                <w:color w:val="FF0000"/>
                              </w:rPr>
                              <w:t xml:space="preserve">wurden von der AG Recht nicht </w:t>
                            </w:r>
                            <w:r w:rsidR="00934678">
                              <w:rPr>
                                <w:i/>
                                <w:color w:val="FF0000"/>
                              </w:rPr>
                              <w:t>untersucht und bewertet.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4824C" id="_x0000_t202" coordsize="21600,21600" o:spt="202" path="m,l,21600r21600,l21600,xe">
                <v:stroke joinstyle="miter"/>
                <v:path gradientshapeok="t" o:connecttype="rect"/>
              </v:shapetype>
              <v:shape id="Textfeld 2" o:spid="_x0000_s1026" type="#_x0000_t202" style="position:absolute;margin-left:6.45pt;margin-top:12.15pt;width:440.5pt;height:22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" strokecolor="red">
                <v:textbox>
                  <w:txbxContent>
                    <w:p w14:paraId="7664825B" w14:textId="77777777" w:rsidR="005B74CB" w:rsidRPr="007D5418" w:rsidRDefault="005B74CB" w:rsidP="00CB79A8">
                      <w:pPr>
                        <w:spacing w:after="120"/>
                        <w:jc w:val="center"/>
                        <w:rPr>
                          <w:b/>
                          <w:i/>
                          <w:color w:val="FF0000"/>
                        </w:rPr>
                      </w:pPr>
                      <w:r w:rsidRPr="007D5418">
                        <w:rPr>
                          <w:b/>
                          <w:i/>
                          <w:color w:val="FF0000"/>
                        </w:rPr>
                        <w:t>Hinweis für den Verwender:</w:t>
                      </w:r>
                    </w:p>
                    <w:p w14:paraId="7664825C" w14:textId="77777777" w:rsidR="004A2BF8" w:rsidRDefault="005B74CB" w:rsidP="004A2BF8">
                      <w:pPr>
                        <w:numPr>
                          <w:ilvl w:val="0"/>
                          <w:numId w:val="2"/>
                        </w:numPr>
                        <w:spacing w:after="60"/>
                        <w:ind w:left="714" w:hanging="357"/>
                        <w:rPr>
                          <w:i/>
                          <w:color w:val="FF0000"/>
                        </w:rPr>
                      </w:pPr>
                      <w:r w:rsidRPr="007D5418">
                        <w:rPr>
                          <w:i/>
                          <w:color w:val="FF0000"/>
                        </w:rPr>
                        <w:t xml:space="preserve">Dieses Dokument ist ein </w:t>
                      </w:r>
                      <w:r w:rsidR="0091189A">
                        <w:rPr>
                          <w:i/>
                          <w:color w:val="FF0000"/>
                        </w:rPr>
                        <w:t>vom Arbeitskreis Schnittstellen und Prozesse</w:t>
                      </w:r>
                      <w:r w:rsidR="00DF45A2">
                        <w:rPr>
                          <w:i/>
                          <w:color w:val="FF0000"/>
                        </w:rPr>
                        <w:t xml:space="preserve"> entworfenes und empfohlenes </w:t>
                      </w:r>
                      <w:r w:rsidRPr="007D5418">
                        <w:rPr>
                          <w:i/>
                          <w:color w:val="FF0000"/>
                        </w:rPr>
                        <w:t xml:space="preserve">Musterdokument für die Vereinbarung von Haftungsregelungen in Zusammenhang mit der Verwendung des Meldecodes „NWE“. </w:t>
                      </w:r>
                    </w:p>
                    <w:p w14:paraId="7664825D" w14:textId="77777777" w:rsidR="004A2BF8" w:rsidRDefault="00862999" w:rsidP="004A2BF8">
                      <w:pPr>
                        <w:numPr>
                          <w:ilvl w:val="0"/>
                          <w:numId w:val="2"/>
                        </w:numPr>
                        <w:spacing w:after="60"/>
                        <w:ind w:left="714" w:hanging="357"/>
                        <w:rPr>
                          <w:i/>
                          <w:color w:val="FF0000"/>
                        </w:rPr>
                      </w:pPr>
                      <w:r>
                        <w:rPr>
                          <w:i/>
                          <w:color w:val="FF0000"/>
                        </w:rPr>
                        <w:t>Zur Wirksamkeit</w:t>
                      </w:r>
                      <w:r w:rsidR="004A2BF8">
                        <w:rPr>
                          <w:i/>
                          <w:color w:val="FF0000"/>
                        </w:rPr>
                        <w:t xml:space="preserve"> der Regelungen ist der gesonderte, bilaterale Abschluss dieser Vereinbarung zwischen den WBCI-Partnern erforderlich. Eine Verpflichtung zum Abschluss besteht nicht.</w:t>
                      </w:r>
                    </w:p>
                    <w:p w14:paraId="7664825E" w14:textId="77777777" w:rsidR="00934678" w:rsidRPr="00934678" w:rsidRDefault="005B74CB" w:rsidP="00934678">
                      <w:pPr>
                        <w:numPr>
                          <w:ilvl w:val="0"/>
                          <w:numId w:val="2"/>
                        </w:numPr>
                        <w:spacing w:after="60"/>
                        <w:ind w:left="714" w:hanging="357"/>
                        <w:rPr>
                          <w:i/>
                          <w:color w:val="FF0000"/>
                        </w:rPr>
                      </w:pPr>
                      <w:r w:rsidRPr="007D5418">
                        <w:rPr>
                          <w:i/>
                          <w:color w:val="FF0000"/>
                        </w:rPr>
                        <w:t xml:space="preserve">Die gelb markierten Textbestandteile </w:t>
                      </w:r>
                      <w:r w:rsidR="00934678">
                        <w:rPr>
                          <w:i/>
                          <w:color w:val="FF0000"/>
                        </w:rPr>
                        <w:t>wurden von ei</w:t>
                      </w:r>
                      <w:r w:rsidR="008C120E">
                        <w:rPr>
                          <w:i/>
                          <w:color w:val="FF0000"/>
                        </w:rPr>
                        <w:t>nzelnen Unternehmen eingebracht, jedoch nicht einstimmig als notwendige Bestandteile der Empfehlung angesehen.</w:t>
                      </w:r>
                      <w:r w:rsidR="00934678">
                        <w:rPr>
                          <w:i/>
                          <w:color w:val="FF0000"/>
                        </w:rPr>
                        <w:t xml:space="preserve"> </w:t>
                      </w:r>
                      <w:r w:rsidR="008C120E">
                        <w:rPr>
                          <w:i/>
                          <w:color w:val="FF0000"/>
                        </w:rPr>
                        <w:t xml:space="preserve">Sie </w:t>
                      </w:r>
                      <w:r w:rsidRPr="007D5418">
                        <w:rPr>
                          <w:i/>
                          <w:color w:val="FF0000"/>
                        </w:rPr>
                        <w:t>stellen</w:t>
                      </w:r>
                      <w:r w:rsidR="008C120E">
                        <w:rPr>
                          <w:i/>
                          <w:color w:val="FF0000"/>
                        </w:rPr>
                        <w:t xml:space="preserve"> daher</w:t>
                      </w:r>
                      <w:r w:rsidRPr="007D5418">
                        <w:rPr>
                          <w:i/>
                          <w:color w:val="FF0000"/>
                        </w:rPr>
                        <w:t xml:space="preserve"> optionale Regelungen dar</w:t>
                      </w:r>
                      <w:r w:rsidR="00CB79A8" w:rsidRPr="007D5418">
                        <w:rPr>
                          <w:i/>
                          <w:color w:val="FF0000"/>
                        </w:rPr>
                        <w:t>, die individuell zwischen den Vertragsparteien gewählt werden können.</w:t>
                      </w:r>
                      <w:r w:rsidRPr="007D5418">
                        <w:rPr>
                          <w:i/>
                          <w:color w:val="FF0000"/>
                        </w:rPr>
                        <w:t xml:space="preserve"> </w:t>
                      </w:r>
                      <w:r w:rsidR="008C120E">
                        <w:rPr>
                          <w:i/>
                          <w:color w:val="FF0000"/>
                        </w:rPr>
                        <w:t>Mögliche r</w:t>
                      </w:r>
                      <w:r w:rsidR="00934678">
                        <w:rPr>
                          <w:i/>
                          <w:color w:val="FF0000"/>
                        </w:rPr>
                        <w:t xml:space="preserve">echtliche Auswirkungen dieser Regelungen </w:t>
                      </w:r>
                      <w:r w:rsidR="00934678" w:rsidRPr="00934678">
                        <w:rPr>
                          <w:i/>
                          <w:color w:val="FF0000"/>
                        </w:rPr>
                        <w:t xml:space="preserve">wurden von der AG Recht nicht </w:t>
                      </w:r>
                      <w:r w:rsidR="00934678">
                        <w:rPr>
                          <w:i/>
                          <w:color w:val="FF0000"/>
                        </w:rPr>
                        <w:t>untersucht und bewertet.</w:t>
                      </w:r>
                    </w:p>
                  </w:txbxContent>
                </v:textbox>
                <w10:wrap type="square"/>
              </v:shape>
            </w:pict>
          </mc:Fallback>
        </mc:AlternateContent>
      </w:r>
      <w:r w:rsidR="00E9149E">
        <w:rPr>
          <w:b/>
        </w:rPr>
        <w:br w:type="page"/>
      </w:r>
      <w:r w:rsidR="00AA247B" w:rsidRPr="001443C8">
        <w:rPr>
          <w:b/>
        </w:rPr>
        <w:lastRenderedPageBreak/>
        <w:t>Grundsätzliches</w:t>
      </w:r>
    </w:p>
    <w:p w14:paraId="766481E2" w14:textId="77777777" w:rsidR="00AA247B" w:rsidRPr="001443C8" w:rsidRDefault="00AA247B" w:rsidP="001443C8">
      <w:pPr>
        <w:rPr>
          <w:b/>
        </w:rPr>
      </w:pPr>
    </w:p>
    <w:p w14:paraId="766481E3" w14:textId="77777777" w:rsidR="00AA247B" w:rsidRPr="001443C8" w:rsidRDefault="00AA247B" w:rsidP="001443C8">
      <w:r w:rsidRPr="001443C8">
        <w:rPr>
          <w:rFonts w:ascii="Arial" w:hAnsi="Arial" w:cs="Arial"/>
          <w:iCs/>
          <w:sz w:val="20"/>
          <w:szCs w:val="20"/>
        </w:rPr>
        <w:t xml:space="preserve">Soweit in dieser Vereinbarung auf den Ablehnungsgrund „NWE“ referenziert wird, verstehen die Vertragsparteien darunter die Ablehnung der durch </w:t>
      </w:r>
      <w:proofErr w:type="spellStart"/>
      <w:r w:rsidRPr="001443C8">
        <w:rPr>
          <w:rFonts w:ascii="Arial" w:hAnsi="Arial" w:cs="Arial"/>
          <w:iCs/>
          <w:sz w:val="20"/>
          <w:szCs w:val="20"/>
        </w:rPr>
        <w:t>EKP</w:t>
      </w:r>
      <w:r w:rsidR="0091189A" w:rsidRPr="0091189A">
        <w:rPr>
          <w:rFonts w:ascii="Arial" w:hAnsi="Arial" w:cs="Arial"/>
          <w:iCs/>
          <w:sz w:val="20"/>
          <w:szCs w:val="20"/>
          <w:vertAlign w:val="subscript"/>
        </w:rPr>
        <w:t>auf</w:t>
      </w:r>
      <w:proofErr w:type="spellEnd"/>
      <w:r w:rsidRPr="001443C8">
        <w:rPr>
          <w:rFonts w:ascii="Arial" w:hAnsi="Arial" w:cs="Arial"/>
          <w:iCs/>
          <w:sz w:val="20"/>
          <w:szCs w:val="20"/>
        </w:rPr>
        <w:t xml:space="preserve"> elektronisch übermittelten Vorabstimmungsanfrage durch </w:t>
      </w:r>
      <w:proofErr w:type="spellStart"/>
      <w:r w:rsidRPr="001443C8">
        <w:rPr>
          <w:rFonts w:ascii="Arial" w:hAnsi="Arial" w:cs="Arial"/>
          <w:iCs/>
          <w:sz w:val="20"/>
          <w:szCs w:val="20"/>
        </w:rPr>
        <w:t>EKP</w:t>
      </w:r>
      <w:r w:rsidR="0091189A" w:rsidRPr="0091189A">
        <w:rPr>
          <w:rFonts w:ascii="Arial" w:hAnsi="Arial" w:cs="Arial"/>
          <w:iCs/>
          <w:sz w:val="20"/>
          <w:szCs w:val="20"/>
          <w:vertAlign w:val="subscript"/>
        </w:rPr>
        <w:t>abg</w:t>
      </w:r>
      <w:proofErr w:type="spellEnd"/>
      <w:r w:rsidRPr="001443C8">
        <w:rPr>
          <w:rFonts w:ascii="Arial" w:hAnsi="Arial" w:cs="Arial"/>
          <w:iCs/>
          <w:sz w:val="20"/>
          <w:szCs w:val="20"/>
        </w:rPr>
        <w:t xml:space="preserve"> mit einer Begründung, die zum Ausdruck bringt, dass dem </w:t>
      </w:r>
      <w:proofErr w:type="spellStart"/>
      <w:r w:rsidRPr="001443C8">
        <w:rPr>
          <w:rFonts w:ascii="Arial" w:hAnsi="Arial" w:cs="Arial"/>
          <w:iCs/>
          <w:sz w:val="20"/>
          <w:szCs w:val="20"/>
        </w:rPr>
        <w:t>EKP</w:t>
      </w:r>
      <w:r w:rsidR="0091189A" w:rsidRPr="0091189A">
        <w:rPr>
          <w:rFonts w:ascii="Arial" w:hAnsi="Arial" w:cs="Arial"/>
          <w:iCs/>
          <w:sz w:val="20"/>
          <w:szCs w:val="20"/>
          <w:vertAlign w:val="subscript"/>
        </w:rPr>
        <w:t>abg</w:t>
      </w:r>
      <w:proofErr w:type="spellEnd"/>
      <w:r w:rsidRPr="001443C8">
        <w:rPr>
          <w:rFonts w:ascii="Arial" w:hAnsi="Arial" w:cs="Arial"/>
          <w:iCs/>
          <w:sz w:val="20"/>
          <w:szCs w:val="20"/>
        </w:rPr>
        <w:t xml:space="preserve"> eine Willenserklärung des Kunden vorliegt, die zeitlich nach dessen Willenserklärung  gegenüber dem </w:t>
      </w:r>
      <w:proofErr w:type="spellStart"/>
      <w:r w:rsidRPr="001443C8">
        <w:rPr>
          <w:rFonts w:ascii="Arial" w:hAnsi="Arial" w:cs="Arial"/>
          <w:iCs/>
          <w:sz w:val="20"/>
          <w:szCs w:val="20"/>
        </w:rPr>
        <w:t>EKP</w:t>
      </w:r>
      <w:r w:rsidR="0091189A" w:rsidRPr="0091189A">
        <w:rPr>
          <w:rFonts w:ascii="Arial" w:hAnsi="Arial" w:cs="Arial"/>
          <w:iCs/>
          <w:sz w:val="20"/>
          <w:szCs w:val="20"/>
          <w:vertAlign w:val="subscript"/>
        </w:rPr>
        <w:t>auf</w:t>
      </w:r>
      <w:proofErr w:type="spellEnd"/>
      <w:r w:rsidRPr="001443C8">
        <w:rPr>
          <w:rFonts w:ascii="Arial" w:hAnsi="Arial" w:cs="Arial"/>
          <w:iCs/>
          <w:sz w:val="20"/>
          <w:szCs w:val="20"/>
        </w:rPr>
        <w:t xml:space="preserve"> datiert. Dies betrifft also insbesondere die Ablehnung mit dem Ablehnungsgrund „NWE“ oder synonymen Codierungen wie dem Ablehnungscode „SON“ verbunden mit einem sinngemäßen Erläuterungstext: „Kunde will bei </w:t>
      </w:r>
      <w:proofErr w:type="spellStart"/>
      <w:r w:rsidRPr="001443C8">
        <w:rPr>
          <w:rFonts w:ascii="Arial" w:hAnsi="Arial" w:cs="Arial"/>
          <w:iCs/>
          <w:sz w:val="20"/>
          <w:szCs w:val="20"/>
        </w:rPr>
        <w:t>EKP</w:t>
      </w:r>
      <w:r w:rsidR="0091189A" w:rsidRPr="0091189A">
        <w:rPr>
          <w:rFonts w:ascii="Arial" w:hAnsi="Arial" w:cs="Arial"/>
          <w:iCs/>
          <w:sz w:val="20"/>
          <w:szCs w:val="20"/>
          <w:vertAlign w:val="subscript"/>
        </w:rPr>
        <w:t>abg</w:t>
      </w:r>
      <w:proofErr w:type="spellEnd"/>
      <w:r w:rsidRPr="001443C8">
        <w:rPr>
          <w:rFonts w:ascii="Arial" w:hAnsi="Arial" w:cs="Arial"/>
          <w:iCs/>
          <w:sz w:val="20"/>
          <w:szCs w:val="20"/>
        </w:rPr>
        <w:t xml:space="preserve"> bleiben“ (im Folgenden als „NWE“ bezeichnet).</w:t>
      </w:r>
    </w:p>
    <w:p w14:paraId="766481E4" w14:textId="77777777" w:rsidR="00F94D05" w:rsidRDefault="004805F2" w:rsidP="00F94D05">
      <w:pPr>
        <w:pStyle w:val="berschrift1"/>
        <w:ind w:left="0" w:firstLine="0"/>
        <w:rPr>
          <w:sz w:val="20"/>
          <w:szCs w:val="20"/>
        </w:rPr>
      </w:pPr>
      <w:r>
        <w:rPr>
          <w:sz w:val="20"/>
          <w:szCs w:val="20"/>
        </w:rPr>
        <w:t>1.</w:t>
      </w:r>
      <w:r>
        <w:rPr>
          <w:sz w:val="20"/>
          <w:szCs w:val="20"/>
        </w:rPr>
        <w:tab/>
      </w:r>
      <w:r w:rsidRPr="001443C8">
        <w:rPr>
          <w:sz w:val="20"/>
          <w:szCs w:val="20"/>
          <w:highlight w:val="yellow"/>
        </w:rPr>
        <w:t>Kein Missbrauch von NWE</w:t>
      </w:r>
    </w:p>
    <w:p w14:paraId="766481E5" w14:textId="77777777" w:rsidR="004805F2" w:rsidRPr="001443C8" w:rsidRDefault="004805F2" w:rsidP="001443C8">
      <w:pPr>
        <w:spacing w:after="60"/>
        <w:ind w:left="567" w:hanging="567"/>
        <w:jc w:val="both"/>
        <w:rPr>
          <w:rFonts w:ascii="Arial" w:eastAsia="Arial" w:hAnsi="Arial" w:cs="Arial"/>
          <w:sz w:val="20"/>
          <w:szCs w:val="20"/>
          <w:highlight w:val="yellow"/>
        </w:rPr>
      </w:pPr>
      <w:r>
        <w:rPr>
          <w:rFonts w:ascii="Arial" w:eastAsia="Arial" w:hAnsi="Arial" w:cs="Arial"/>
          <w:sz w:val="20"/>
          <w:szCs w:val="20"/>
        </w:rPr>
        <w:t>1.1</w:t>
      </w:r>
      <w:r>
        <w:rPr>
          <w:rFonts w:ascii="Arial" w:eastAsia="Arial" w:hAnsi="Arial" w:cs="Arial"/>
          <w:sz w:val="20"/>
          <w:szCs w:val="20"/>
        </w:rPr>
        <w:tab/>
      </w:r>
      <w:r w:rsidRPr="001443C8">
        <w:rPr>
          <w:rFonts w:ascii="Arial" w:eastAsia="Arial" w:hAnsi="Arial" w:cs="Arial"/>
          <w:sz w:val="20"/>
          <w:szCs w:val="20"/>
          <w:highlight w:val="yellow"/>
        </w:rPr>
        <w:t>Die Vertragsparteien schließen diese Vereinbarung in dem Vertrauen darauf, dass die an dem Anbieterwechsel Beteiligten die Möglichkeit, einen bereits eingeleiteten Anbieterwechsel mittels der Übermittlung des Meldecodes „NWE“ abzubrechen, nicht missbräuchlich und insbesondere nicht zulasten des Endkunden gebrauchen. Dass der Endkunde frei und unbeeinflusst von rechtswidrigen, insbesondere unlauteren Einwirkungen den Anbieter auswählen kann, ist wesentliche Grundlage dieser Vereinbarung.</w:t>
      </w:r>
    </w:p>
    <w:p w14:paraId="766481E6" w14:textId="77777777" w:rsidR="004805F2" w:rsidRPr="001443C8" w:rsidRDefault="004805F2" w:rsidP="001443C8">
      <w:pPr>
        <w:spacing w:after="60"/>
        <w:ind w:left="567" w:hanging="567"/>
        <w:jc w:val="both"/>
        <w:rPr>
          <w:rFonts w:ascii="Arial" w:eastAsia="Arial" w:hAnsi="Arial" w:cs="Arial"/>
          <w:sz w:val="20"/>
          <w:szCs w:val="20"/>
          <w:highlight w:val="yellow"/>
        </w:rPr>
      </w:pPr>
    </w:p>
    <w:p w14:paraId="766481E7" w14:textId="77777777" w:rsidR="004805F2" w:rsidRPr="001443C8" w:rsidRDefault="004805F2" w:rsidP="001443C8">
      <w:pPr>
        <w:spacing w:after="60"/>
        <w:ind w:left="567" w:hanging="567"/>
        <w:jc w:val="both"/>
        <w:rPr>
          <w:rFonts w:ascii="Arial" w:eastAsia="Arial" w:hAnsi="Arial" w:cs="Arial"/>
          <w:sz w:val="20"/>
          <w:szCs w:val="20"/>
          <w:highlight w:val="yellow"/>
        </w:rPr>
      </w:pPr>
      <w:r w:rsidRPr="00404884">
        <w:rPr>
          <w:rFonts w:ascii="Arial" w:eastAsia="Arial" w:hAnsi="Arial" w:cs="Arial"/>
          <w:sz w:val="20"/>
          <w:szCs w:val="20"/>
          <w:highlight w:val="yellow"/>
        </w:rPr>
        <w:t>1.2</w:t>
      </w:r>
      <w:r w:rsidRPr="00404884">
        <w:rPr>
          <w:rFonts w:ascii="Arial" w:eastAsia="Arial" w:hAnsi="Arial" w:cs="Arial"/>
          <w:sz w:val="20"/>
          <w:szCs w:val="20"/>
          <w:highlight w:val="yellow"/>
        </w:rPr>
        <w:tab/>
      </w:r>
      <w:r w:rsidRPr="001443C8">
        <w:rPr>
          <w:rFonts w:ascii="Arial" w:eastAsia="Arial" w:hAnsi="Arial" w:cs="Arial"/>
          <w:sz w:val="20"/>
          <w:szCs w:val="20"/>
          <w:highlight w:val="yellow"/>
        </w:rPr>
        <w:t xml:space="preserve">Die Vertragsparteien sorgen deshalb dafür, dass der Endkunde sich frei und unbeeinflusst von rechtswidrigen, insbesondere unlauteren Einwirkungen dafür entscheiden kann, eine neue Willenserklärung gegenüber dem </w:t>
      </w:r>
      <w:proofErr w:type="spellStart"/>
      <w:r w:rsidRPr="001443C8">
        <w:rPr>
          <w:rFonts w:ascii="Arial" w:eastAsia="Arial" w:hAnsi="Arial" w:cs="Arial"/>
          <w:sz w:val="20"/>
          <w:szCs w:val="20"/>
          <w:highlight w:val="yellow"/>
        </w:rPr>
        <w:t>EKP</w:t>
      </w:r>
      <w:r w:rsidR="0091189A" w:rsidRPr="0091189A">
        <w:rPr>
          <w:rFonts w:ascii="Arial" w:eastAsia="Arial" w:hAnsi="Arial" w:cs="Arial"/>
          <w:sz w:val="20"/>
          <w:szCs w:val="20"/>
          <w:vertAlign w:val="subscript"/>
        </w:rPr>
        <w:t>abg</w:t>
      </w:r>
      <w:proofErr w:type="spellEnd"/>
      <w:r w:rsidRPr="001443C8">
        <w:rPr>
          <w:rFonts w:ascii="Arial" w:eastAsia="Arial" w:hAnsi="Arial" w:cs="Arial"/>
          <w:sz w:val="20"/>
          <w:szCs w:val="20"/>
          <w:highlight w:val="yellow"/>
        </w:rPr>
        <w:t xml:space="preserve"> abzugeben. </w:t>
      </w:r>
    </w:p>
    <w:p w14:paraId="766481E8" w14:textId="77777777" w:rsidR="004805F2" w:rsidRPr="001443C8" w:rsidRDefault="004805F2" w:rsidP="001443C8">
      <w:pPr>
        <w:spacing w:after="60"/>
        <w:ind w:left="567" w:hanging="567"/>
        <w:jc w:val="both"/>
        <w:rPr>
          <w:rFonts w:ascii="Arial" w:eastAsia="Arial" w:hAnsi="Arial" w:cs="Arial"/>
          <w:sz w:val="20"/>
          <w:szCs w:val="20"/>
          <w:highlight w:val="yellow"/>
        </w:rPr>
      </w:pPr>
    </w:p>
    <w:p w14:paraId="766481E9" w14:textId="77777777" w:rsidR="004805F2" w:rsidRPr="00404884" w:rsidRDefault="004805F2" w:rsidP="001443C8">
      <w:pPr>
        <w:spacing w:after="60"/>
        <w:ind w:left="567" w:hanging="567"/>
        <w:jc w:val="both"/>
        <w:rPr>
          <w:rFonts w:ascii="Arial" w:eastAsia="Arial" w:hAnsi="Arial" w:cs="Arial"/>
          <w:sz w:val="20"/>
          <w:szCs w:val="20"/>
          <w:highlight w:val="yellow"/>
        </w:rPr>
      </w:pPr>
      <w:r w:rsidRPr="00404884">
        <w:rPr>
          <w:rFonts w:ascii="Arial" w:eastAsia="Arial" w:hAnsi="Arial" w:cs="Arial"/>
          <w:sz w:val="20"/>
          <w:szCs w:val="20"/>
          <w:highlight w:val="yellow"/>
        </w:rPr>
        <w:t>1.3</w:t>
      </w:r>
      <w:r w:rsidRPr="00404884">
        <w:rPr>
          <w:rFonts w:ascii="Arial" w:eastAsia="Arial" w:hAnsi="Arial" w:cs="Arial"/>
          <w:sz w:val="20"/>
          <w:szCs w:val="20"/>
          <w:highlight w:val="yellow"/>
        </w:rPr>
        <w:tab/>
      </w:r>
      <w:r w:rsidRPr="001443C8">
        <w:rPr>
          <w:rFonts w:ascii="Arial" w:eastAsia="Arial" w:hAnsi="Arial" w:cs="Arial"/>
          <w:sz w:val="20"/>
          <w:szCs w:val="20"/>
          <w:highlight w:val="yellow"/>
        </w:rPr>
        <w:t xml:space="preserve">Die </w:t>
      </w:r>
      <w:r w:rsidR="002A5A88">
        <w:rPr>
          <w:rFonts w:ascii="Arial" w:eastAsia="Arial" w:hAnsi="Arial" w:cs="Arial"/>
          <w:sz w:val="20"/>
          <w:szCs w:val="20"/>
          <w:highlight w:val="yellow"/>
        </w:rPr>
        <w:t>Vertragsp</w:t>
      </w:r>
      <w:r w:rsidRPr="001443C8">
        <w:rPr>
          <w:rFonts w:ascii="Arial" w:eastAsia="Arial" w:hAnsi="Arial" w:cs="Arial"/>
          <w:sz w:val="20"/>
          <w:szCs w:val="20"/>
          <w:highlight w:val="yellow"/>
        </w:rPr>
        <w:t xml:space="preserve">arteien verpflichten sich, es als </w:t>
      </w:r>
      <w:proofErr w:type="spellStart"/>
      <w:r w:rsidRPr="001443C8">
        <w:rPr>
          <w:rFonts w:ascii="Arial" w:eastAsia="Arial" w:hAnsi="Arial" w:cs="Arial"/>
          <w:sz w:val="20"/>
          <w:szCs w:val="20"/>
          <w:highlight w:val="yellow"/>
        </w:rPr>
        <w:t>EKP</w:t>
      </w:r>
      <w:r w:rsidR="0091189A" w:rsidRPr="0091189A">
        <w:rPr>
          <w:rFonts w:ascii="Arial" w:eastAsia="Arial" w:hAnsi="Arial" w:cs="Arial"/>
          <w:sz w:val="20"/>
          <w:szCs w:val="20"/>
          <w:vertAlign w:val="subscript"/>
        </w:rPr>
        <w:t>abg</w:t>
      </w:r>
      <w:proofErr w:type="spellEnd"/>
      <w:r w:rsidRPr="001443C8">
        <w:rPr>
          <w:rFonts w:ascii="Arial" w:eastAsia="Arial" w:hAnsi="Arial" w:cs="Arial"/>
          <w:sz w:val="20"/>
          <w:szCs w:val="20"/>
          <w:highlight w:val="yellow"/>
        </w:rPr>
        <w:t xml:space="preserve"> zu unterlassen, </w:t>
      </w:r>
    </w:p>
    <w:p w14:paraId="766481EA" w14:textId="77777777" w:rsidR="004805F2" w:rsidRPr="001443C8" w:rsidRDefault="004805F2" w:rsidP="001443C8">
      <w:pPr>
        <w:spacing w:after="60"/>
        <w:ind w:left="567" w:hanging="567"/>
        <w:jc w:val="both"/>
        <w:rPr>
          <w:rFonts w:ascii="Arial" w:eastAsia="Arial" w:hAnsi="Arial" w:cs="Arial"/>
          <w:sz w:val="20"/>
          <w:szCs w:val="20"/>
          <w:highlight w:val="yellow"/>
        </w:rPr>
      </w:pPr>
    </w:p>
    <w:p w14:paraId="766481EB" w14:textId="77777777" w:rsidR="004805F2" w:rsidRPr="001443C8" w:rsidRDefault="004805F2" w:rsidP="001443C8">
      <w:pPr>
        <w:spacing w:after="60"/>
        <w:ind w:left="1134" w:hanging="567"/>
        <w:jc w:val="both"/>
        <w:rPr>
          <w:rFonts w:ascii="Arial" w:eastAsia="Arial" w:hAnsi="Arial" w:cs="Arial"/>
          <w:sz w:val="20"/>
          <w:szCs w:val="20"/>
          <w:highlight w:val="yellow"/>
        </w:rPr>
      </w:pPr>
      <w:r w:rsidRPr="001443C8">
        <w:rPr>
          <w:rFonts w:ascii="Arial" w:eastAsia="Arial" w:hAnsi="Arial" w:cs="Arial"/>
          <w:sz w:val="20"/>
          <w:szCs w:val="20"/>
          <w:highlight w:val="yellow"/>
        </w:rPr>
        <w:t>a)</w:t>
      </w:r>
      <w:r w:rsidRPr="001443C8">
        <w:rPr>
          <w:rFonts w:ascii="Arial" w:eastAsia="Arial" w:hAnsi="Arial" w:cs="Arial"/>
          <w:sz w:val="20"/>
          <w:szCs w:val="20"/>
          <w:highlight w:val="yellow"/>
        </w:rPr>
        <w:tab/>
        <w:t xml:space="preserve">den Endkunden anzurufen, wenn hierfür eine </w:t>
      </w:r>
      <w:r w:rsidR="00086A7A" w:rsidRPr="00404884">
        <w:rPr>
          <w:rFonts w:ascii="Arial" w:eastAsia="Arial" w:hAnsi="Arial" w:cs="Arial"/>
          <w:sz w:val="20"/>
          <w:szCs w:val="20"/>
          <w:highlight w:val="yellow"/>
        </w:rPr>
        <w:t xml:space="preserve">gesetzliche Erlaubnis oder eine </w:t>
      </w:r>
      <w:r w:rsidRPr="001443C8">
        <w:rPr>
          <w:rFonts w:ascii="Arial" w:eastAsia="Arial" w:hAnsi="Arial" w:cs="Arial"/>
          <w:sz w:val="20"/>
          <w:szCs w:val="20"/>
          <w:highlight w:val="yellow"/>
        </w:rPr>
        <w:t>wirksame Einwilligung des Endkunden nicht vorliegt;</w:t>
      </w:r>
    </w:p>
    <w:p w14:paraId="766481EC" w14:textId="77777777" w:rsidR="004805F2" w:rsidRPr="001443C8" w:rsidRDefault="004805F2" w:rsidP="001443C8">
      <w:pPr>
        <w:spacing w:after="60"/>
        <w:ind w:left="567" w:hanging="567"/>
        <w:jc w:val="both"/>
        <w:rPr>
          <w:rFonts w:ascii="Arial" w:eastAsia="Arial" w:hAnsi="Arial" w:cs="Arial"/>
          <w:sz w:val="20"/>
          <w:szCs w:val="20"/>
          <w:highlight w:val="yellow"/>
        </w:rPr>
      </w:pPr>
    </w:p>
    <w:p w14:paraId="766481ED" w14:textId="77777777" w:rsidR="004805F2" w:rsidRPr="001443C8" w:rsidRDefault="004805F2" w:rsidP="001443C8">
      <w:pPr>
        <w:spacing w:after="60"/>
        <w:ind w:left="1134" w:hanging="567"/>
        <w:jc w:val="both"/>
        <w:rPr>
          <w:rFonts w:ascii="Arial" w:eastAsia="Arial" w:hAnsi="Arial" w:cs="Arial"/>
          <w:sz w:val="20"/>
          <w:szCs w:val="20"/>
          <w:highlight w:val="yellow"/>
        </w:rPr>
      </w:pPr>
      <w:r w:rsidRPr="001443C8">
        <w:rPr>
          <w:rFonts w:ascii="Arial" w:eastAsia="Arial" w:hAnsi="Arial" w:cs="Arial"/>
          <w:sz w:val="20"/>
          <w:szCs w:val="20"/>
          <w:highlight w:val="yellow"/>
        </w:rPr>
        <w:t>b)</w:t>
      </w:r>
      <w:r w:rsidRPr="001443C8">
        <w:rPr>
          <w:rFonts w:ascii="Arial" w:eastAsia="Arial" w:hAnsi="Arial" w:cs="Arial"/>
          <w:sz w:val="20"/>
          <w:szCs w:val="20"/>
          <w:highlight w:val="yellow"/>
        </w:rPr>
        <w:tab/>
        <w:t xml:space="preserve">den Endkunden nicht über das Recht zum Widerruf zu informieren, wenn der Endkunde seinen Willen, vom Anbieterwechsel Abstand zu nehmen, im Rahmen eines  Fernabsatzvertrages erklärt; </w:t>
      </w:r>
    </w:p>
    <w:p w14:paraId="766481EE" w14:textId="77777777" w:rsidR="004805F2" w:rsidRPr="001443C8" w:rsidRDefault="004805F2" w:rsidP="001443C8">
      <w:pPr>
        <w:spacing w:after="60"/>
        <w:ind w:left="567" w:hanging="567"/>
        <w:jc w:val="both"/>
        <w:rPr>
          <w:rFonts w:ascii="Arial" w:eastAsia="Arial" w:hAnsi="Arial" w:cs="Arial"/>
          <w:sz w:val="20"/>
          <w:szCs w:val="20"/>
          <w:highlight w:val="yellow"/>
        </w:rPr>
      </w:pPr>
    </w:p>
    <w:p w14:paraId="766481EF" w14:textId="77777777" w:rsidR="004805F2" w:rsidRPr="001443C8" w:rsidRDefault="004805F2" w:rsidP="001443C8">
      <w:pPr>
        <w:spacing w:after="60"/>
        <w:ind w:left="1134" w:hanging="567"/>
        <w:jc w:val="both"/>
        <w:rPr>
          <w:rFonts w:ascii="Arial" w:eastAsia="Arial" w:hAnsi="Arial" w:cs="Arial"/>
          <w:sz w:val="20"/>
          <w:szCs w:val="20"/>
          <w:highlight w:val="yellow"/>
        </w:rPr>
      </w:pPr>
      <w:r w:rsidRPr="001443C8">
        <w:rPr>
          <w:rFonts w:ascii="Arial" w:eastAsia="Arial" w:hAnsi="Arial" w:cs="Arial"/>
          <w:sz w:val="20"/>
          <w:szCs w:val="20"/>
          <w:highlight w:val="yellow"/>
        </w:rPr>
        <w:t>c)</w:t>
      </w:r>
      <w:r w:rsidRPr="001443C8">
        <w:rPr>
          <w:rFonts w:ascii="Arial" w:eastAsia="Arial" w:hAnsi="Arial" w:cs="Arial"/>
          <w:sz w:val="20"/>
          <w:szCs w:val="20"/>
          <w:highlight w:val="yellow"/>
        </w:rPr>
        <w:tab/>
        <w:t>während des Anbieterwechsels gegenüber dem Endkunden unwahre Angaben oder sonstige zur Täuschung geeignete Angaben zu machen, und zwar insbesondere</w:t>
      </w:r>
    </w:p>
    <w:p w14:paraId="766481F0" w14:textId="77777777" w:rsidR="004805F2" w:rsidRPr="001443C8" w:rsidRDefault="004805F2" w:rsidP="001443C8">
      <w:pPr>
        <w:spacing w:after="60"/>
        <w:ind w:left="1418" w:hanging="284"/>
        <w:jc w:val="both"/>
        <w:rPr>
          <w:rFonts w:ascii="Arial" w:eastAsia="Arial" w:hAnsi="Arial" w:cs="Arial"/>
          <w:sz w:val="20"/>
          <w:szCs w:val="20"/>
          <w:highlight w:val="yellow"/>
        </w:rPr>
      </w:pPr>
      <w:r w:rsidRPr="001443C8">
        <w:rPr>
          <w:rFonts w:ascii="Arial" w:eastAsia="Arial" w:hAnsi="Arial" w:cs="Arial"/>
          <w:sz w:val="20"/>
          <w:szCs w:val="20"/>
          <w:highlight w:val="yellow"/>
        </w:rPr>
        <w:t>i.</w:t>
      </w:r>
      <w:r w:rsidRPr="001443C8">
        <w:rPr>
          <w:rFonts w:ascii="Arial" w:eastAsia="Arial" w:hAnsi="Arial" w:cs="Arial"/>
          <w:sz w:val="20"/>
          <w:szCs w:val="20"/>
          <w:highlight w:val="yellow"/>
        </w:rPr>
        <w:tab/>
        <w:t>über</w:t>
      </w:r>
      <w:r w:rsidRPr="00404884">
        <w:rPr>
          <w:rFonts w:ascii="Arial" w:eastAsia="Arial" w:hAnsi="Arial" w:cs="Arial"/>
          <w:sz w:val="20"/>
          <w:szCs w:val="20"/>
          <w:highlight w:val="yellow"/>
        </w:rPr>
        <w:t xml:space="preserve"> den</w:t>
      </w:r>
      <w:r w:rsidRPr="001443C8">
        <w:rPr>
          <w:rFonts w:ascii="Arial" w:eastAsia="Arial" w:hAnsi="Arial" w:cs="Arial"/>
          <w:sz w:val="20"/>
          <w:szCs w:val="20"/>
          <w:highlight w:val="yellow"/>
        </w:rPr>
        <w:t xml:space="preserve"> </w:t>
      </w:r>
      <w:proofErr w:type="spellStart"/>
      <w:r w:rsidRPr="001443C8">
        <w:rPr>
          <w:rFonts w:ascii="Arial" w:eastAsia="Arial" w:hAnsi="Arial" w:cs="Arial"/>
          <w:sz w:val="20"/>
          <w:szCs w:val="20"/>
          <w:highlight w:val="yellow"/>
        </w:rPr>
        <w:t>EKP</w:t>
      </w:r>
      <w:r w:rsidR="0091189A" w:rsidRPr="0091189A">
        <w:rPr>
          <w:rFonts w:ascii="Arial" w:eastAsia="Arial" w:hAnsi="Arial" w:cs="Arial"/>
          <w:sz w:val="20"/>
          <w:szCs w:val="20"/>
          <w:vertAlign w:val="subscript"/>
        </w:rPr>
        <w:t>auf</w:t>
      </w:r>
      <w:proofErr w:type="spellEnd"/>
      <w:r w:rsidRPr="001443C8">
        <w:rPr>
          <w:rFonts w:ascii="Arial" w:eastAsia="Arial" w:hAnsi="Arial" w:cs="Arial"/>
          <w:sz w:val="20"/>
          <w:szCs w:val="20"/>
          <w:highlight w:val="yellow"/>
        </w:rPr>
        <w:t>;</w:t>
      </w:r>
    </w:p>
    <w:p w14:paraId="766481F1" w14:textId="77777777" w:rsidR="004805F2" w:rsidRPr="001443C8" w:rsidRDefault="004805F2" w:rsidP="001443C8">
      <w:pPr>
        <w:spacing w:after="60"/>
        <w:ind w:left="1418" w:hanging="284"/>
        <w:jc w:val="both"/>
        <w:rPr>
          <w:rFonts w:ascii="Arial" w:eastAsia="Arial" w:hAnsi="Arial" w:cs="Arial"/>
          <w:sz w:val="20"/>
          <w:szCs w:val="20"/>
          <w:highlight w:val="yellow"/>
        </w:rPr>
      </w:pPr>
      <w:r w:rsidRPr="001443C8">
        <w:rPr>
          <w:rFonts w:ascii="Arial" w:eastAsia="Arial" w:hAnsi="Arial" w:cs="Arial"/>
          <w:sz w:val="20"/>
          <w:szCs w:val="20"/>
          <w:highlight w:val="yellow"/>
        </w:rPr>
        <w:t>ii.</w:t>
      </w:r>
      <w:r w:rsidRPr="001443C8">
        <w:rPr>
          <w:rFonts w:ascii="Arial" w:eastAsia="Arial" w:hAnsi="Arial" w:cs="Arial"/>
          <w:sz w:val="20"/>
          <w:szCs w:val="20"/>
          <w:highlight w:val="yellow"/>
        </w:rPr>
        <w:tab/>
        <w:t xml:space="preserve">über die Dienstleistungen des </w:t>
      </w:r>
      <w:proofErr w:type="spellStart"/>
      <w:r w:rsidRPr="001443C8">
        <w:rPr>
          <w:rFonts w:ascii="Arial" w:eastAsia="Arial" w:hAnsi="Arial" w:cs="Arial"/>
          <w:sz w:val="20"/>
          <w:szCs w:val="20"/>
          <w:highlight w:val="yellow"/>
        </w:rPr>
        <w:t>EPK</w:t>
      </w:r>
      <w:r w:rsidR="0091189A" w:rsidRPr="0091189A">
        <w:rPr>
          <w:rFonts w:ascii="Arial" w:eastAsia="Arial" w:hAnsi="Arial" w:cs="Arial"/>
          <w:sz w:val="20"/>
          <w:szCs w:val="20"/>
          <w:vertAlign w:val="subscript"/>
        </w:rPr>
        <w:t>auf</w:t>
      </w:r>
      <w:proofErr w:type="spellEnd"/>
      <w:r w:rsidRPr="001443C8">
        <w:rPr>
          <w:rFonts w:ascii="Arial" w:eastAsia="Arial" w:hAnsi="Arial" w:cs="Arial"/>
          <w:sz w:val="20"/>
          <w:szCs w:val="20"/>
          <w:highlight w:val="yellow"/>
        </w:rPr>
        <w:t>, einschließlich deren Umfang, Qualität und Preise;</w:t>
      </w:r>
    </w:p>
    <w:p w14:paraId="766481F2" w14:textId="77777777" w:rsidR="004805F2" w:rsidRPr="001443C8" w:rsidRDefault="004805F2" w:rsidP="001443C8">
      <w:pPr>
        <w:spacing w:after="60"/>
        <w:ind w:left="567" w:hanging="567"/>
        <w:jc w:val="both"/>
        <w:rPr>
          <w:rFonts w:ascii="Arial" w:eastAsia="Arial" w:hAnsi="Arial" w:cs="Arial"/>
          <w:sz w:val="20"/>
          <w:szCs w:val="20"/>
          <w:highlight w:val="yellow"/>
        </w:rPr>
      </w:pPr>
    </w:p>
    <w:p w14:paraId="766481F3" w14:textId="77777777" w:rsidR="004805F2" w:rsidRPr="001443C8" w:rsidRDefault="004805F2" w:rsidP="001443C8">
      <w:pPr>
        <w:spacing w:after="60"/>
        <w:ind w:left="1134" w:hanging="567"/>
        <w:jc w:val="both"/>
        <w:rPr>
          <w:rFonts w:ascii="Arial" w:eastAsia="Arial" w:hAnsi="Arial" w:cs="Arial"/>
          <w:sz w:val="20"/>
          <w:szCs w:val="20"/>
          <w:highlight w:val="yellow"/>
        </w:rPr>
      </w:pPr>
      <w:r w:rsidRPr="001443C8">
        <w:rPr>
          <w:rFonts w:ascii="Arial" w:eastAsia="Arial" w:hAnsi="Arial" w:cs="Arial"/>
          <w:sz w:val="20"/>
          <w:szCs w:val="20"/>
          <w:highlight w:val="yellow"/>
        </w:rPr>
        <w:t>d)</w:t>
      </w:r>
      <w:r w:rsidRPr="001443C8">
        <w:rPr>
          <w:rFonts w:ascii="Arial" w:eastAsia="Arial" w:hAnsi="Arial" w:cs="Arial"/>
          <w:sz w:val="20"/>
          <w:szCs w:val="20"/>
          <w:highlight w:val="yellow"/>
        </w:rPr>
        <w:tab/>
        <w:t>dem Endkunden gegenüber zu erklären oder ihm gegenüber den Eindruck zu erwecken,</w:t>
      </w:r>
    </w:p>
    <w:p w14:paraId="766481F4" w14:textId="77777777" w:rsidR="004805F2" w:rsidRPr="001443C8" w:rsidRDefault="004805F2" w:rsidP="001443C8">
      <w:pPr>
        <w:spacing w:after="60"/>
        <w:ind w:left="1418" w:hanging="284"/>
        <w:jc w:val="both"/>
        <w:rPr>
          <w:rFonts w:ascii="Arial" w:eastAsia="Arial" w:hAnsi="Arial" w:cs="Arial"/>
          <w:sz w:val="20"/>
          <w:szCs w:val="20"/>
          <w:highlight w:val="yellow"/>
        </w:rPr>
      </w:pPr>
      <w:r w:rsidRPr="001443C8">
        <w:rPr>
          <w:rFonts w:ascii="Arial" w:eastAsia="Arial" w:hAnsi="Arial" w:cs="Arial"/>
          <w:sz w:val="20"/>
          <w:szCs w:val="20"/>
          <w:highlight w:val="yellow"/>
        </w:rPr>
        <w:t>i.</w:t>
      </w:r>
      <w:r w:rsidRPr="001443C8">
        <w:rPr>
          <w:rFonts w:ascii="Arial" w:eastAsia="Arial" w:hAnsi="Arial" w:cs="Arial"/>
          <w:sz w:val="20"/>
          <w:szCs w:val="20"/>
          <w:highlight w:val="yellow"/>
        </w:rPr>
        <w:tab/>
        <w:t xml:space="preserve">dem Endkunden stünde im Hinblick auf die gegenüber </w:t>
      </w:r>
      <w:proofErr w:type="spellStart"/>
      <w:r w:rsidRPr="001443C8">
        <w:rPr>
          <w:rFonts w:ascii="Arial" w:eastAsia="Arial" w:hAnsi="Arial" w:cs="Arial"/>
          <w:sz w:val="20"/>
          <w:szCs w:val="20"/>
          <w:highlight w:val="yellow"/>
        </w:rPr>
        <w:t>EKP</w:t>
      </w:r>
      <w:r w:rsidR="0091189A" w:rsidRPr="0091189A">
        <w:rPr>
          <w:rFonts w:ascii="Arial" w:eastAsia="Arial" w:hAnsi="Arial" w:cs="Arial"/>
          <w:sz w:val="20"/>
          <w:szCs w:val="20"/>
          <w:vertAlign w:val="subscript"/>
        </w:rPr>
        <w:t>auf</w:t>
      </w:r>
      <w:proofErr w:type="spellEnd"/>
      <w:r w:rsidRPr="001443C8">
        <w:rPr>
          <w:rFonts w:ascii="Arial" w:eastAsia="Arial" w:hAnsi="Arial" w:cs="Arial"/>
          <w:sz w:val="20"/>
          <w:szCs w:val="20"/>
          <w:highlight w:val="yellow"/>
        </w:rPr>
        <w:t xml:space="preserve"> abgegebene Willenserklärung ein Widerrufsrecht oder ein sonstiges Recht zur einseitigen Aufhebung dieser Willenserklärung zu, wenn dieses nicht zutrifft;</w:t>
      </w:r>
    </w:p>
    <w:p w14:paraId="766481F5" w14:textId="77777777" w:rsidR="004805F2" w:rsidRPr="001443C8" w:rsidRDefault="004805F2" w:rsidP="001443C8">
      <w:pPr>
        <w:spacing w:after="60"/>
        <w:ind w:left="1418" w:hanging="284"/>
        <w:jc w:val="both"/>
        <w:rPr>
          <w:rFonts w:ascii="Arial" w:eastAsia="Arial" w:hAnsi="Arial" w:cs="Arial"/>
          <w:sz w:val="20"/>
          <w:szCs w:val="20"/>
          <w:highlight w:val="yellow"/>
        </w:rPr>
      </w:pPr>
      <w:r w:rsidRPr="001443C8">
        <w:rPr>
          <w:rFonts w:ascii="Arial" w:eastAsia="Arial" w:hAnsi="Arial" w:cs="Arial"/>
          <w:sz w:val="20"/>
          <w:szCs w:val="20"/>
          <w:highlight w:val="yellow"/>
        </w:rPr>
        <w:t>ii.</w:t>
      </w:r>
      <w:r w:rsidRPr="001443C8">
        <w:rPr>
          <w:rFonts w:ascii="Arial" w:eastAsia="Arial" w:hAnsi="Arial" w:cs="Arial"/>
          <w:sz w:val="20"/>
          <w:szCs w:val="20"/>
          <w:highlight w:val="yellow"/>
        </w:rPr>
        <w:tab/>
        <w:t xml:space="preserve">der Endkunde wäre gleichzeitig sowohl gegenüber dem </w:t>
      </w:r>
      <w:proofErr w:type="spellStart"/>
      <w:r w:rsidRPr="001443C8">
        <w:rPr>
          <w:rFonts w:ascii="Arial" w:eastAsia="Arial" w:hAnsi="Arial" w:cs="Arial"/>
          <w:sz w:val="20"/>
          <w:szCs w:val="20"/>
          <w:highlight w:val="yellow"/>
        </w:rPr>
        <w:t>EKP</w:t>
      </w:r>
      <w:r w:rsidR="0091189A" w:rsidRPr="0091189A">
        <w:rPr>
          <w:rFonts w:ascii="Arial" w:eastAsia="Arial" w:hAnsi="Arial" w:cs="Arial"/>
          <w:sz w:val="20"/>
          <w:szCs w:val="20"/>
          <w:vertAlign w:val="subscript"/>
        </w:rPr>
        <w:t>abg</w:t>
      </w:r>
      <w:proofErr w:type="spellEnd"/>
      <w:r w:rsidRPr="001443C8">
        <w:rPr>
          <w:rFonts w:ascii="Arial" w:eastAsia="Arial" w:hAnsi="Arial" w:cs="Arial"/>
          <w:sz w:val="20"/>
          <w:szCs w:val="20"/>
          <w:highlight w:val="yellow"/>
        </w:rPr>
        <w:t xml:space="preserve"> als auch gegenüber dem </w:t>
      </w:r>
      <w:proofErr w:type="spellStart"/>
      <w:r w:rsidRPr="001443C8">
        <w:rPr>
          <w:rFonts w:ascii="Arial" w:eastAsia="Arial" w:hAnsi="Arial" w:cs="Arial"/>
          <w:sz w:val="20"/>
          <w:szCs w:val="20"/>
          <w:highlight w:val="yellow"/>
        </w:rPr>
        <w:t>EKP</w:t>
      </w:r>
      <w:r w:rsidR="0091189A" w:rsidRPr="0091189A">
        <w:rPr>
          <w:rFonts w:ascii="Arial" w:eastAsia="Arial" w:hAnsi="Arial" w:cs="Arial"/>
          <w:sz w:val="20"/>
          <w:szCs w:val="20"/>
          <w:vertAlign w:val="subscript"/>
        </w:rPr>
        <w:t>auf</w:t>
      </w:r>
      <w:proofErr w:type="spellEnd"/>
      <w:r w:rsidRPr="001443C8">
        <w:rPr>
          <w:rFonts w:ascii="Arial" w:eastAsia="Arial" w:hAnsi="Arial" w:cs="Arial"/>
          <w:sz w:val="20"/>
          <w:szCs w:val="20"/>
          <w:highlight w:val="yellow"/>
        </w:rPr>
        <w:t xml:space="preserve"> vertraglich gebunden oder diese Situation könne eintreten;</w:t>
      </w:r>
    </w:p>
    <w:p w14:paraId="766481F6" w14:textId="77777777" w:rsidR="004805F2" w:rsidRPr="00404884" w:rsidRDefault="004805F2" w:rsidP="001443C8">
      <w:pPr>
        <w:spacing w:after="60"/>
        <w:ind w:left="1418" w:hanging="284"/>
        <w:jc w:val="both"/>
        <w:rPr>
          <w:rFonts w:ascii="Arial" w:eastAsia="Arial" w:hAnsi="Arial" w:cs="Arial"/>
          <w:sz w:val="20"/>
          <w:szCs w:val="20"/>
          <w:highlight w:val="yellow"/>
        </w:rPr>
      </w:pPr>
      <w:r w:rsidRPr="001443C8">
        <w:rPr>
          <w:rFonts w:ascii="Arial" w:eastAsia="Arial" w:hAnsi="Arial" w:cs="Arial"/>
          <w:sz w:val="20"/>
          <w:szCs w:val="20"/>
          <w:highlight w:val="yellow"/>
        </w:rPr>
        <w:t>iii.</w:t>
      </w:r>
      <w:r w:rsidRPr="001443C8">
        <w:rPr>
          <w:rFonts w:ascii="Arial" w:eastAsia="Arial" w:hAnsi="Arial" w:cs="Arial"/>
          <w:sz w:val="20"/>
          <w:szCs w:val="20"/>
          <w:highlight w:val="yellow"/>
        </w:rPr>
        <w:tab/>
        <w:t xml:space="preserve">der Endkunde könne den Vertrag mit </w:t>
      </w:r>
      <w:proofErr w:type="spellStart"/>
      <w:r w:rsidRPr="001443C8">
        <w:rPr>
          <w:rFonts w:ascii="Arial" w:eastAsia="Arial" w:hAnsi="Arial" w:cs="Arial"/>
          <w:sz w:val="20"/>
          <w:szCs w:val="20"/>
          <w:highlight w:val="yellow"/>
        </w:rPr>
        <w:t>EKP</w:t>
      </w:r>
      <w:r w:rsidR="0091189A" w:rsidRPr="0091189A">
        <w:rPr>
          <w:rFonts w:ascii="Arial" w:eastAsia="Arial" w:hAnsi="Arial" w:cs="Arial"/>
          <w:sz w:val="20"/>
          <w:szCs w:val="20"/>
          <w:vertAlign w:val="subscript"/>
        </w:rPr>
        <w:t>abg</w:t>
      </w:r>
      <w:proofErr w:type="spellEnd"/>
      <w:r w:rsidRPr="001443C8">
        <w:rPr>
          <w:rFonts w:ascii="Arial" w:eastAsia="Arial" w:hAnsi="Arial" w:cs="Arial"/>
          <w:sz w:val="20"/>
          <w:szCs w:val="20"/>
          <w:highlight w:val="yellow"/>
        </w:rPr>
        <w:t xml:space="preserve"> derzeit nicht kündigen und/oder </w:t>
      </w:r>
      <w:r w:rsidR="00086A7A" w:rsidRPr="00404884">
        <w:rPr>
          <w:rFonts w:ascii="Arial" w:eastAsia="Arial" w:hAnsi="Arial" w:cs="Arial"/>
          <w:sz w:val="20"/>
          <w:szCs w:val="20"/>
          <w:highlight w:val="yellow"/>
        </w:rPr>
        <w:t xml:space="preserve">derzeit nicht </w:t>
      </w:r>
      <w:r w:rsidRPr="001443C8">
        <w:rPr>
          <w:rFonts w:ascii="Arial" w:eastAsia="Arial" w:hAnsi="Arial" w:cs="Arial"/>
          <w:sz w:val="20"/>
          <w:szCs w:val="20"/>
          <w:highlight w:val="yellow"/>
        </w:rPr>
        <w:t>widerrufen;</w:t>
      </w:r>
    </w:p>
    <w:p w14:paraId="766481F7" w14:textId="77777777" w:rsidR="00086A7A" w:rsidRPr="001443C8" w:rsidRDefault="00086A7A" w:rsidP="001443C8">
      <w:pPr>
        <w:spacing w:after="60"/>
        <w:ind w:left="1418" w:hanging="284"/>
        <w:jc w:val="both"/>
        <w:rPr>
          <w:rFonts w:ascii="Arial" w:eastAsia="Arial" w:hAnsi="Arial" w:cs="Arial"/>
          <w:sz w:val="20"/>
          <w:szCs w:val="20"/>
          <w:highlight w:val="yellow"/>
        </w:rPr>
      </w:pPr>
      <w:r w:rsidRPr="00404884">
        <w:rPr>
          <w:rFonts w:ascii="Arial" w:eastAsia="Arial" w:hAnsi="Arial" w:cs="Arial"/>
          <w:sz w:val="20"/>
          <w:szCs w:val="20"/>
          <w:highlight w:val="yellow"/>
        </w:rPr>
        <w:t>iv.</w:t>
      </w:r>
      <w:r w:rsidRPr="00404884">
        <w:rPr>
          <w:rFonts w:ascii="Arial" w:eastAsia="Arial" w:hAnsi="Arial" w:cs="Arial"/>
          <w:sz w:val="20"/>
          <w:szCs w:val="20"/>
          <w:highlight w:val="yellow"/>
        </w:rPr>
        <w:tab/>
        <w:t xml:space="preserve">es drohe eine </w:t>
      </w:r>
      <w:r w:rsidR="00AF3AB9" w:rsidRPr="00404884">
        <w:rPr>
          <w:rFonts w:ascii="Arial" w:eastAsia="Arial" w:hAnsi="Arial" w:cs="Arial"/>
          <w:sz w:val="20"/>
          <w:szCs w:val="20"/>
          <w:highlight w:val="yellow"/>
        </w:rPr>
        <w:t xml:space="preserve">die gesetzlichen Anforderungen, </w:t>
      </w:r>
      <w:r w:rsidRPr="00404884">
        <w:rPr>
          <w:rFonts w:ascii="Arial" w:eastAsia="Arial" w:hAnsi="Arial" w:cs="Arial"/>
          <w:sz w:val="20"/>
          <w:szCs w:val="20"/>
          <w:highlight w:val="yellow"/>
        </w:rPr>
        <w:t xml:space="preserve">insbesondere die </w:t>
      </w:r>
      <w:r w:rsidR="00AF3AB9" w:rsidRPr="00404884">
        <w:rPr>
          <w:rFonts w:ascii="Arial" w:eastAsia="Arial" w:hAnsi="Arial" w:cs="Arial"/>
          <w:sz w:val="20"/>
          <w:szCs w:val="20"/>
          <w:highlight w:val="yellow"/>
        </w:rPr>
        <w:t xml:space="preserve">Anforderungen </w:t>
      </w:r>
      <w:r w:rsidRPr="00404884">
        <w:rPr>
          <w:rFonts w:ascii="Arial" w:eastAsia="Arial" w:hAnsi="Arial" w:cs="Arial"/>
          <w:sz w:val="20"/>
          <w:szCs w:val="20"/>
          <w:highlight w:val="yellow"/>
        </w:rPr>
        <w:t>des § </w:t>
      </w:r>
      <w:r w:rsidR="0091189A">
        <w:rPr>
          <w:rFonts w:ascii="Arial" w:eastAsia="Arial" w:hAnsi="Arial" w:cs="Arial"/>
          <w:sz w:val="20"/>
          <w:szCs w:val="20"/>
          <w:highlight w:val="yellow"/>
        </w:rPr>
        <w:t>59</w:t>
      </w:r>
      <w:r w:rsidR="0091189A" w:rsidRPr="00404884">
        <w:rPr>
          <w:rFonts w:ascii="Arial" w:eastAsia="Arial" w:hAnsi="Arial" w:cs="Arial"/>
          <w:sz w:val="20"/>
          <w:szCs w:val="20"/>
          <w:highlight w:val="yellow"/>
        </w:rPr>
        <w:t xml:space="preserve"> </w:t>
      </w:r>
      <w:r w:rsidRPr="00404884">
        <w:rPr>
          <w:rFonts w:ascii="Arial" w:eastAsia="Arial" w:hAnsi="Arial" w:cs="Arial"/>
          <w:sz w:val="20"/>
          <w:szCs w:val="20"/>
          <w:highlight w:val="yellow"/>
        </w:rPr>
        <w:t xml:space="preserve">Absatz </w:t>
      </w:r>
      <w:r w:rsidR="0091189A">
        <w:rPr>
          <w:rFonts w:ascii="Arial" w:eastAsia="Arial" w:hAnsi="Arial" w:cs="Arial"/>
          <w:sz w:val="20"/>
          <w:szCs w:val="20"/>
          <w:highlight w:val="yellow"/>
        </w:rPr>
        <w:t>2</w:t>
      </w:r>
      <w:r w:rsidRPr="00404884">
        <w:rPr>
          <w:rFonts w:ascii="Arial" w:eastAsia="Arial" w:hAnsi="Arial" w:cs="Arial"/>
          <w:sz w:val="20"/>
          <w:szCs w:val="20"/>
          <w:highlight w:val="yellow"/>
        </w:rPr>
        <w:t xml:space="preserve"> TKG nicht einhaltende Unterbrechung des Anschlusses</w:t>
      </w:r>
      <w:r w:rsidR="00AF3AB9" w:rsidRPr="00404884">
        <w:rPr>
          <w:rFonts w:ascii="Arial" w:eastAsia="Arial" w:hAnsi="Arial" w:cs="Arial"/>
          <w:sz w:val="20"/>
          <w:szCs w:val="20"/>
          <w:highlight w:val="yellow"/>
        </w:rPr>
        <w:t xml:space="preserve"> oder eine Abschaltung des Anschlusses</w:t>
      </w:r>
      <w:r w:rsidRPr="00404884">
        <w:rPr>
          <w:rFonts w:ascii="Arial" w:eastAsia="Arial" w:hAnsi="Arial" w:cs="Arial"/>
          <w:sz w:val="20"/>
          <w:szCs w:val="20"/>
          <w:highlight w:val="yellow"/>
        </w:rPr>
        <w:t>;</w:t>
      </w:r>
    </w:p>
    <w:p w14:paraId="766481F8" w14:textId="77777777" w:rsidR="004805F2" w:rsidRPr="001443C8" w:rsidRDefault="004805F2" w:rsidP="001443C8">
      <w:pPr>
        <w:spacing w:after="60"/>
        <w:ind w:left="1418" w:hanging="284"/>
        <w:jc w:val="both"/>
        <w:rPr>
          <w:rFonts w:ascii="Arial" w:eastAsia="Arial" w:hAnsi="Arial" w:cs="Arial"/>
          <w:sz w:val="20"/>
          <w:szCs w:val="20"/>
          <w:highlight w:val="yellow"/>
        </w:rPr>
      </w:pPr>
      <w:r w:rsidRPr="001443C8">
        <w:rPr>
          <w:rFonts w:ascii="Arial" w:eastAsia="Arial" w:hAnsi="Arial" w:cs="Arial"/>
          <w:sz w:val="20"/>
          <w:szCs w:val="20"/>
          <w:highlight w:val="yellow"/>
        </w:rPr>
        <w:t>v.</w:t>
      </w:r>
      <w:r w:rsidRPr="001443C8">
        <w:rPr>
          <w:rFonts w:ascii="Arial" w:eastAsia="Arial" w:hAnsi="Arial" w:cs="Arial"/>
          <w:sz w:val="20"/>
          <w:szCs w:val="20"/>
          <w:highlight w:val="yellow"/>
        </w:rPr>
        <w:tab/>
        <w:t>der Endkunde könne seine Rufnummer nicht mehr nutzen oder diese Situation könne eintreten;</w:t>
      </w:r>
    </w:p>
    <w:p w14:paraId="766481F9" w14:textId="77777777" w:rsidR="004805F2" w:rsidRPr="001443C8" w:rsidRDefault="004805F2" w:rsidP="001443C8">
      <w:pPr>
        <w:spacing w:after="60"/>
        <w:ind w:left="1134" w:hanging="567"/>
        <w:jc w:val="both"/>
        <w:rPr>
          <w:rFonts w:ascii="Arial" w:eastAsia="Arial" w:hAnsi="Arial" w:cs="Arial"/>
          <w:sz w:val="20"/>
          <w:szCs w:val="20"/>
          <w:highlight w:val="yellow"/>
        </w:rPr>
      </w:pPr>
      <w:r w:rsidRPr="001443C8">
        <w:rPr>
          <w:rFonts w:ascii="Arial" w:eastAsia="Arial" w:hAnsi="Arial" w:cs="Arial"/>
          <w:sz w:val="20"/>
          <w:szCs w:val="20"/>
          <w:highlight w:val="yellow"/>
        </w:rPr>
        <w:t>e)</w:t>
      </w:r>
      <w:r w:rsidRPr="001443C8">
        <w:rPr>
          <w:rFonts w:ascii="Arial" w:eastAsia="Arial" w:hAnsi="Arial" w:cs="Arial"/>
          <w:sz w:val="20"/>
          <w:szCs w:val="20"/>
          <w:highlight w:val="yellow"/>
        </w:rPr>
        <w:tab/>
      </w:r>
      <w:r w:rsidRPr="00404884">
        <w:rPr>
          <w:rFonts w:ascii="Arial" w:eastAsia="Arial" w:hAnsi="Arial" w:cs="Arial"/>
          <w:sz w:val="20"/>
          <w:szCs w:val="20"/>
          <w:highlight w:val="yellow"/>
        </w:rPr>
        <w:t>[</w:t>
      </w:r>
      <w:r w:rsidR="001443C8">
        <w:rPr>
          <w:rFonts w:ascii="Arial" w:eastAsia="Arial" w:hAnsi="Arial" w:cs="Arial"/>
          <w:sz w:val="20"/>
          <w:szCs w:val="20"/>
          <w:highlight w:val="yellow"/>
        </w:rPr>
        <w:t>ggf. w</w:t>
      </w:r>
      <w:r w:rsidRPr="00404884">
        <w:rPr>
          <w:rFonts w:ascii="Arial" w:eastAsia="Arial" w:hAnsi="Arial" w:cs="Arial"/>
          <w:sz w:val="20"/>
          <w:szCs w:val="20"/>
          <w:highlight w:val="yellow"/>
        </w:rPr>
        <w:t>eitere Punkte?]</w:t>
      </w:r>
    </w:p>
    <w:p w14:paraId="766481FA" w14:textId="77777777" w:rsidR="004805F2" w:rsidRPr="001443C8" w:rsidRDefault="004805F2" w:rsidP="001443C8">
      <w:pPr>
        <w:spacing w:after="60"/>
        <w:ind w:left="567" w:hanging="567"/>
        <w:jc w:val="both"/>
        <w:rPr>
          <w:rFonts w:ascii="Arial" w:eastAsia="Arial" w:hAnsi="Arial" w:cs="Arial"/>
          <w:sz w:val="20"/>
          <w:szCs w:val="20"/>
          <w:highlight w:val="yellow"/>
        </w:rPr>
      </w:pPr>
    </w:p>
    <w:p w14:paraId="766481FB" w14:textId="77777777" w:rsidR="004805F2" w:rsidRPr="001443C8" w:rsidRDefault="004805F2" w:rsidP="001443C8">
      <w:pPr>
        <w:spacing w:after="60"/>
        <w:ind w:left="567" w:hanging="567"/>
        <w:jc w:val="both"/>
        <w:rPr>
          <w:rFonts w:ascii="Arial" w:eastAsia="Arial" w:hAnsi="Arial" w:cs="Arial"/>
          <w:sz w:val="20"/>
          <w:szCs w:val="20"/>
        </w:rPr>
      </w:pPr>
      <w:r w:rsidRPr="00404884">
        <w:rPr>
          <w:rFonts w:ascii="Arial" w:eastAsia="Arial" w:hAnsi="Arial" w:cs="Arial"/>
          <w:sz w:val="20"/>
          <w:szCs w:val="20"/>
          <w:highlight w:val="yellow"/>
        </w:rPr>
        <w:t>1.4</w:t>
      </w:r>
      <w:r w:rsidRPr="00404884">
        <w:rPr>
          <w:rFonts w:ascii="Arial" w:eastAsia="Arial" w:hAnsi="Arial" w:cs="Arial"/>
          <w:sz w:val="20"/>
          <w:szCs w:val="20"/>
          <w:highlight w:val="yellow"/>
        </w:rPr>
        <w:tab/>
      </w:r>
      <w:r w:rsidRPr="001443C8">
        <w:rPr>
          <w:rFonts w:ascii="Arial" w:eastAsia="Arial" w:hAnsi="Arial" w:cs="Arial"/>
          <w:sz w:val="20"/>
          <w:szCs w:val="20"/>
          <w:highlight w:val="yellow"/>
        </w:rPr>
        <w:t xml:space="preserve">Unbeschadet der sonstigen gesetzlichen oder vertraglichen Rechte des </w:t>
      </w:r>
      <w:proofErr w:type="spellStart"/>
      <w:r w:rsidRPr="001443C8">
        <w:rPr>
          <w:rFonts w:ascii="Arial" w:eastAsia="Arial" w:hAnsi="Arial" w:cs="Arial"/>
          <w:sz w:val="20"/>
          <w:szCs w:val="20"/>
          <w:highlight w:val="yellow"/>
        </w:rPr>
        <w:t>EPK</w:t>
      </w:r>
      <w:r w:rsidR="0091189A" w:rsidRPr="0091189A">
        <w:rPr>
          <w:rFonts w:ascii="Arial" w:eastAsia="Arial" w:hAnsi="Arial" w:cs="Arial"/>
          <w:sz w:val="20"/>
          <w:szCs w:val="20"/>
          <w:vertAlign w:val="subscript"/>
        </w:rPr>
        <w:t>auf</w:t>
      </w:r>
      <w:proofErr w:type="spellEnd"/>
      <w:r w:rsidRPr="001443C8">
        <w:rPr>
          <w:rFonts w:ascii="Arial" w:eastAsia="Arial" w:hAnsi="Arial" w:cs="Arial"/>
          <w:sz w:val="20"/>
          <w:szCs w:val="20"/>
          <w:highlight w:val="yellow"/>
        </w:rPr>
        <w:t xml:space="preserve"> schuldet </w:t>
      </w:r>
      <w:proofErr w:type="spellStart"/>
      <w:r w:rsidRPr="001443C8">
        <w:rPr>
          <w:rFonts w:ascii="Arial" w:eastAsia="Arial" w:hAnsi="Arial" w:cs="Arial"/>
          <w:sz w:val="20"/>
          <w:szCs w:val="20"/>
          <w:highlight w:val="yellow"/>
        </w:rPr>
        <w:t>EKP</w:t>
      </w:r>
      <w:r w:rsidR="0091189A" w:rsidRPr="0091189A">
        <w:rPr>
          <w:rFonts w:ascii="Arial" w:eastAsia="Arial" w:hAnsi="Arial" w:cs="Arial"/>
          <w:sz w:val="20"/>
          <w:szCs w:val="20"/>
          <w:vertAlign w:val="subscript"/>
        </w:rPr>
        <w:t>abg</w:t>
      </w:r>
      <w:proofErr w:type="spellEnd"/>
      <w:r w:rsidRPr="001443C8">
        <w:rPr>
          <w:rFonts w:ascii="Arial" w:eastAsia="Arial" w:hAnsi="Arial" w:cs="Arial"/>
          <w:sz w:val="20"/>
          <w:szCs w:val="20"/>
          <w:highlight w:val="yellow"/>
        </w:rPr>
        <w:t xml:space="preserve"> dem </w:t>
      </w:r>
      <w:proofErr w:type="spellStart"/>
      <w:r w:rsidRPr="001443C8">
        <w:rPr>
          <w:rFonts w:ascii="Arial" w:eastAsia="Arial" w:hAnsi="Arial" w:cs="Arial"/>
          <w:sz w:val="20"/>
          <w:szCs w:val="20"/>
          <w:highlight w:val="yellow"/>
        </w:rPr>
        <w:t>EKP</w:t>
      </w:r>
      <w:r w:rsidR="0091189A" w:rsidRPr="0091189A">
        <w:rPr>
          <w:rFonts w:ascii="Arial" w:eastAsia="Arial" w:hAnsi="Arial" w:cs="Arial"/>
          <w:sz w:val="20"/>
          <w:szCs w:val="20"/>
          <w:vertAlign w:val="subscript"/>
        </w:rPr>
        <w:t>auf</w:t>
      </w:r>
      <w:proofErr w:type="spellEnd"/>
      <w:r w:rsidRPr="001443C8">
        <w:rPr>
          <w:rFonts w:ascii="Arial" w:eastAsia="Arial" w:hAnsi="Arial" w:cs="Arial"/>
          <w:sz w:val="20"/>
          <w:szCs w:val="20"/>
          <w:highlight w:val="yellow"/>
        </w:rPr>
        <w:t xml:space="preserve"> bei jedem Verstoß gegen eine der in den vorstehenden Absätzen vereinbarten Pflichten eine Vertragsstrafe in Höhe von </w:t>
      </w:r>
      <w:r w:rsidR="00D67115" w:rsidRPr="00404884">
        <w:rPr>
          <w:rFonts w:ascii="Arial" w:eastAsia="Arial" w:hAnsi="Arial" w:cs="Arial"/>
          <w:sz w:val="20"/>
          <w:szCs w:val="20"/>
          <w:highlight w:val="yellow"/>
        </w:rPr>
        <w:t>5</w:t>
      </w:r>
      <w:r w:rsidRPr="001443C8">
        <w:rPr>
          <w:rFonts w:ascii="Arial" w:eastAsia="Arial" w:hAnsi="Arial" w:cs="Arial"/>
          <w:sz w:val="20"/>
          <w:szCs w:val="20"/>
          <w:highlight w:val="yellow"/>
        </w:rPr>
        <w:t xml:space="preserve">.000 Euro. Die Geltendmachung eines weiteren Schadens ist nicht ausgeschlossen. Eine verwirkte Vertragsstrafe wird auf weitere Schadensersatzansprüche des </w:t>
      </w:r>
      <w:proofErr w:type="spellStart"/>
      <w:r w:rsidRPr="001443C8">
        <w:rPr>
          <w:rFonts w:ascii="Arial" w:eastAsia="Arial" w:hAnsi="Arial" w:cs="Arial"/>
          <w:sz w:val="20"/>
          <w:szCs w:val="20"/>
          <w:highlight w:val="yellow"/>
        </w:rPr>
        <w:t>EKP</w:t>
      </w:r>
      <w:r w:rsidR="0091189A" w:rsidRPr="0091189A">
        <w:rPr>
          <w:rFonts w:ascii="Arial" w:eastAsia="Arial" w:hAnsi="Arial" w:cs="Arial"/>
          <w:sz w:val="20"/>
          <w:szCs w:val="20"/>
          <w:vertAlign w:val="subscript"/>
        </w:rPr>
        <w:t>auf</w:t>
      </w:r>
      <w:proofErr w:type="spellEnd"/>
      <w:r w:rsidRPr="001443C8">
        <w:rPr>
          <w:rFonts w:ascii="Arial" w:eastAsia="Arial" w:hAnsi="Arial" w:cs="Arial"/>
          <w:sz w:val="20"/>
          <w:szCs w:val="20"/>
          <w:highlight w:val="yellow"/>
        </w:rPr>
        <w:t xml:space="preserve"> angerechnet. Zum Nachweis eines Verstoßes gegen eine der in den vorstehenden Absätzen vereinbarten Pflichten genügt die Vorlage einer eidesstattlichen Versicherung des Endkunden, aus der sich der jeweilige Verstoß ergibt.</w:t>
      </w:r>
    </w:p>
    <w:p w14:paraId="766481FC" w14:textId="77777777" w:rsidR="00F94D05" w:rsidRPr="002D2922" w:rsidRDefault="00F94D05" w:rsidP="001443C8">
      <w:pPr>
        <w:pStyle w:val="berschrift1"/>
        <w:keepNext/>
        <w:ind w:left="0" w:firstLine="0"/>
        <w:rPr>
          <w:sz w:val="20"/>
          <w:szCs w:val="20"/>
        </w:rPr>
      </w:pPr>
      <w:r>
        <w:rPr>
          <w:sz w:val="20"/>
          <w:szCs w:val="20"/>
        </w:rPr>
        <w:t>1</w:t>
      </w:r>
      <w:r w:rsidRPr="002D2922">
        <w:rPr>
          <w:sz w:val="20"/>
          <w:szCs w:val="20"/>
        </w:rPr>
        <w:t>.</w:t>
      </w:r>
      <w:r w:rsidRPr="002D2922">
        <w:rPr>
          <w:sz w:val="20"/>
          <w:szCs w:val="20"/>
        </w:rPr>
        <w:tab/>
        <w:t xml:space="preserve">Willenserklärung des Endkunden </w:t>
      </w:r>
    </w:p>
    <w:p w14:paraId="766481FD" w14:textId="77777777" w:rsidR="007145DD" w:rsidRPr="004A736B" w:rsidRDefault="004A736B" w:rsidP="00BB77DA">
      <w:pPr>
        <w:keepNext/>
        <w:spacing w:after="60"/>
        <w:ind w:left="567" w:hanging="567"/>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r>
      <w:r w:rsidR="00426638" w:rsidRPr="002D2922">
        <w:rPr>
          <w:rFonts w:ascii="Arial" w:eastAsia="Arial" w:hAnsi="Arial" w:cs="Arial"/>
          <w:sz w:val="20"/>
          <w:szCs w:val="20"/>
        </w:rPr>
        <w:t xml:space="preserve">Die </w:t>
      </w:r>
      <w:r w:rsidR="00426638">
        <w:rPr>
          <w:rFonts w:ascii="Arial" w:eastAsia="Arial" w:hAnsi="Arial" w:cs="Arial"/>
          <w:sz w:val="20"/>
          <w:szCs w:val="20"/>
        </w:rPr>
        <w:t>Vertragsparteien</w:t>
      </w:r>
      <w:r w:rsidR="00426638" w:rsidRPr="002D2922">
        <w:rPr>
          <w:rFonts w:ascii="Arial" w:eastAsia="Arial" w:hAnsi="Arial" w:cs="Arial"/>
          <w:sz w:val="20"/>
          <w:szCs w:val="20"/>
        </w:rPr>
        <w:t xml:space="preserve"> verstehen </w:t>
      </w:r>
      <w:r w:rsidR="00426638">
        <w:rPr>
          <w:rFonts w:ascii="Arial" w:eastAsia="Arial" w:hAnsi="Arial" w:cs="Arial"/>
          <w:sz w:val="20"/>
          <w:szCs w:val="20"/>
        </w:rPr>
        <w:t xml:space="preserve">die Ablehnung der </w:t>
      </w:r>
      <w:r>
        <w:rPr>
          <w:rFonts w:ascii="Arial" w:eastAsia="Arial" w:hAnsi="Arial" w:cs="Arial"/>
          <w:sz w:val="20"/>
          <w:szCs w:val="20"/>
        </w:rPr>
        <w:t xml:space="preserve">durch </w:t>
      </w:r>
      <w:proofErr w:type="spellStart"/>
      <w:r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Pr="002D2922">
        <w:rPr>
          <w:rFonts w:ascii="Arial" w:eastAsia="Arial" w:hAnsi="Arial" w:cs="Arial"/>
          <w:sz w:val="20"/>
          <w:szCs w:val="20"/>
        </w:rPr>
        <w:t xml:space="preserve"> </w:t>
      </w:r>
      <w:r w:rsidR="00426638" w:rsidRPr="002D2922">
        <w:rPr>
          <w:rFonts w:ascii="Arial" w:eastAsia="Arial" w:hAnsi="Arial" w:cs="Arial"/>
          <w:sz w:val="20"/>
          <w:szCs w:val="20"/>
        </w:rPr>
        <w:t>elektronisch übermittelte</w:t>
      </w:r>
      <w:r w:rsidR="00426638">
        <w:rPr>
          <w:rFonts w:ascii="Arial" w:eastAsia="Arial" w:hAnsi="Arial" w:cs="Arial"/>
          <w:sz w:val="20"/>
          <w:szCs w:val="20"/>
        </w:rPr>
        <w:t>n</w:t>
      </w:r>
      <w:r w:rsidR="00426638" w:rsidRPr="002D2922">
        <w:rPr>
          <w:rFonts w:ascii="Arial" w:eastAsia="Arial" w:hAnsi="Arial" w:cs="Arial"/>
          <w:sz w:val="20"/>
          <w:szCs w:val="20"/>
        </w:rPr>
        <w:t xml:space="preserve"> </w:t>
      </w:r>
      <w:r w:rsidR="00426638">
        <w:rPr>
          <w:rFonts w:ascii="Arial" w:eastAsia="Arial" w:hAnsi="Arial" w:cs="Arial"/>
          <w:sz w:val="20"/>
          <w:szCs w:val="20"/>
        </w:rPr>
        <w:t xml:space="preserve">Vorabstimmungsanfrage durch </w:t>
      </w:r>
      <w:proofErr w:type="spellStart"/>
      <w:r w:rsidR="00426638"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426638" w:rsidRPr="002D2922">
        <w:rPr>
          <w:rFonts w:ascii="Arial" w:eastAsia="Arial" w:hAnsi="Arial" w:cs="Arial"/>
          <w:sz w:val="20"/>
          <w:szCs w:val="20"/>
        </w:rPr>
        <w:t xml:space="preserve"> </w:t>
      </w:r>
      <w:r>
        <w:rPr>
          <w:rFonts w:ascii="Arial" w:eastAsia="Arial" w:hAnsi="Arial" w:cs="Arial"/>
          <w:sz w:val="20"/>
          <w:szCs w:val="20"/>
        </w:rPr>
        <w:t xml:space="preserve">mit dem </w:t>
      </w:r>
      <w:r w:rsidRPr="004A736B">
        <w:rPr>
          <w:rFonts w:ascii="Arial" w:eastAsia="Arial" w:hAnsi="Arial" w:cs="Arial"/>
          <w:sz w:val="20"/>
          <w:szCs w:val="20"/>
        </w:rPr>
        <w:t xml:space="preserve">Ablehnungsgrund NWE (Neue Willenserklärung) </w:t>
      </w:r>
      <w:r>
        <w:rPr>
          <w:rFonts w:ascii="Arial" w:eastAsia="Arial" w:hAnsi="Arial" w:cs="Arial"/>
          <w:sz w:val="20"/>
          <w:szCs w:val="20"/>
        </w:rPr>
        <w:t xml:space="preserve">gleichzeitig </w:t>
      </w:r>
      <w:r w:rsidR="00426638" w:rsidRPr="002D2922">
        <w:rPr>
          <w:rFonts w:ascii="Arial" w:eastAsia="Arial" w:hAnsi="Arial" w:cs="Arial"/>
          <w:sz w:val="20"/>
          <w:szCs w:val="20"/>
        </w:rPr>
        <w:t>als Übermittlung der Erklärung des Endkunden</w:t>
      </w:r>
      <w:r>
        <w:rPr>
          <w:rFonts w:ascii="Arial" w:eastAsia="Arial" w:hAnsi="Arial" w:cs="Arial"/>
          <w:sz w:val="20"/>
          <w:szCs w:val="20"/>
        </w:rPr>
        <w:t>, dass er</w:t>
      </w:r>
      <w:r w:rsidR="00BF7AD6">
        <w:rPr>
          <w:rFonts w:ascii="Arial" w:eastAsia="Arial" w:hAnsi="Arial" w:cs="Arial"/>
          <w:sz w:val="20"/>
          <w:szCs w:val="20"/>
        </w:rPr>
        <w:t xml:space="preserve"> </w:t>
      </w:r>
      <w:r w:rsidR="00BA66A3" w:rsidRPr="00E749AB">
        <w:rPr>
          <w:rFonts w:ascii="Arial" w:eastAsia="Arial" w:hAnsi="Arial" w:cs="Arial"/>
          <w:sz w:val="20"/>
          <w:szCs w:val="20"/>
        </w:rPr>
        <w:t xml:space="preserve">keinen Anbieterwechsel mehr </w:t>
      </w:r>
      <w:r w:rsidR="007720C1" w:rsidRPr="00E749AB">
        <w:rPr>
          <w:rFonts w:ascii="Arial" w:eastAsia="Arial" w:hAnsi="Arial" w:cs="Arial"/>
          <w:sz w:val="20"/>
          <w:szCs w:val="20"/>
        </w:rPr>
        <w:t>wünscht</w:t>
      </w:r>
      <w:r w:rsidR="00BA66A3" w:rsidRPr="00E749AB">
        <w:rPr>
          <w:rFonts w:ascii="Arial" w:eastAsia="Arial" w:hAnsi="Arial" w:cs="Arial"/>
          <w:sz w:val="20"/>
          <w:szCs w:val="20"/>
        </w:rPr>
        <w:t>.</w:t>
      </w:r>
      <w:r w:rsidR="00904D32">
        <w:rPr>
          <w:rFonts w:ascii="Arial" w:eastAsia="Arial" w:hAnsi="Arial" w:cs="Arial"/>
          <w:sz w:val="20"/>
          <w:szCs w:val="20"/>
        </w:rPr>
        <w:t xml:space="preserve"> </w:t>
      </w:r>
      <w:r w:rsidR="00DD3397">
        <w:rPr>
          <w:rFonts w:ascii="Arial" w:eastAsia="Arial" w:hAnsi="Arial" w:cs="Arial"/>
          <w:sz w:val="20"/>
          <w:szCs w:val="20"/>
        </w:rPr>
        <w:t xml:space="preserve">Die Vertragsparteien stellen klar, dass mit der Übermittlung des Ablehnungsgrundes NWE durch den </w:t>
      </w:r>
      <w:proofErr w:type="spellStart"/>
      <w:r w:rsidR="00DD3397">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DD3397">
        <w:rPr>
          <w:rFonts w:ascii="Arial" w:eastAsia="Arial" w:hAnsi="Arial" w:cs="Arial"/>
          <w:sz w:val="20"/>
          <w:szCs w:val="20"/>
        </w:rPr>
        <w:t xml:space="preserve"> keine Erklärung zu der vertraglichen Beziehung zwischen dem Endkunden und dem </w:t>
      </w:r>
      <w:proofErr w:type="spellStart"/>
      <w:r w:rsidR="00DD3397">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DD3397">
        <w:rPr>
          <w:rFonts w:ascii="Arial" w:eastAsia="Arial" w:hAnsi="Arial" w:cs="Arial"/>
          <w:sz w:val="20"/>
          <w:szCs w:val="20"/>
        </w:rPr>
        <w:t xml:space="preserve"> verbunden ist. </w:t>
      </w:r>
    </w:p>
    <w:p w14:paraId="766481FE" w14:textId="77777777" w:rsidR="00BA66A3" w:rsidRPr="004A736B" w:rsidRDefault="00BA66A3" w:rsidP="004A736B">
      <w:pPr>
        <w:spacing w:after="60"/>
        <w:ind w:left="567" w:hanging="567"/>
        <w:jc w:val="both"/>
        <w:rPr>
          <w:rFonts w:ascii="Arial" w:eastAsia="Arial" w:hAnsi="Arial" w:cs="Arial"/>
          <w:sz w:val="20"/>
          <w:szCs w:val="20"/>
        </w:rPr>
      </w:pPr>
    </w:p>
    <w:p w14:paraId="766481FF" w14:textId="77777777" w:rsidR="00F94D05" w:rsidRPr="002D2922" w:rsidRDefault="00F94D05" w:rsidP="004A736B">
      <w:pPr>
        <w:widowControl w:val="0"/>
        <w:autoSpaceDE w:val="0"/>
        <w:autoSpaceDN w:val="0"/>
        <w:adjustRightInd w:val="0"/>
        <w:ind w:left="567"/>
        <w:jc w:val="both"/>
        <w:rPr>
          <w:rFonts w:ascii="Arial" w:hAnsi="Arial" w:cs="Arial"/>
          <w:sz w:val="20"/>
          <w:szCs w:val="20"/>
        </w:rPr>
      </w:pPr>
    </w:p>
    <w:p w14:paraId="76648200" w14:textId="77777777" w:rsidR="004A736B" w:rsidRDefault="00F94D05" w:rsidP="004A736B">
      <w:pPr>
        <w:spacing w:after="60"/>
        <w:ind w:left="567" w:hanging="567"/>
        <w:jc w:val="both"/>
        <w:rPr>
          <w:rFonts w:ascii="Arial" w:eastAsia="Arial" w:hAnsi="Arial" w:cs="Arial"/>
          <w:sz w:val="20"/>
          <w:szCs w:val="20"/>
        </w:rPr>
      </w:pPr>
      <w:r>
        <w:rPr>
          <w:rFonts w:ascii="Arial" w:eastAsia="Arial" w:hAnsi="Arial" w:cs="Arial"/>
          <w:sz w:val="20"/>
          <w:szCs w:val="20"/>
        </w:rPr>
        <w:t>1</w:t>
      </w:r>
      <w:r w:rsidRPr="002D2922">
        <w:rPr>
          <w:rFonts w:ascii="Arial" w:eastAsia="Arial" w:hAnsi="Arial" w:cs="Arial"/>
          <w:sz w:val="20"/>
          <w:szCs w:val="20"/>
        </w:rPr>
        <w:t>.</w:t>
      </w:r>
      <w:r w:rsidR="004A736B">
        <w:rPr>
          <w:rFonts w:ascii="Arial" w:eastAsia="Arial" w:hAnsi="Arial" w:cs="Arial"/>
          <w:sz w:val="20"/>
          <w:szCs w:val="20"/>
        </w:rPr>
        <w:t>2</w:t>
      </w:r>
      <w:r w:rsidRPr="002D2922">
        <w:rPr>
          <w:rFonts w:ascii="Arial" w:eastAsia="Arial" w:hAnsi="Arial" w:cs="Arial"/>
          <w:sz w:val="20"/>
          <w:szCs w:val="20"/>
        </w:rPr>
        <w:tab/>
        <w:t xml:space="preserve">Die </w:t>
      </w:r>
      <w:r w:rsidR="00E64AC8">
        <w:rPr>
          <w:rFonts w:ascii="Arial" w:eastAsia="Arial" w:hAnsi="Arial" w:cs="Arial"/>
          <w:sz w:val="20"/>
          <w:szCs w:val="20"/>
        </w:rPr>
        <w:t>Vertragsparteien</w:t>
      </w:r>
      <w:r w:rsidRPr="002D2922">
        <w:rPr>
          <w:rFonts w:ascii="Arial" w:eastAsia="Arial" w:hAnsi="Arial" w:cs="Arial"/>
          <w:sz w:val="20"/>
          <w:szCs w:val="20"/>
        </w:rPr>
        <w:t xml:space="preserve"> verzichten als </w:t>
      </w:r>
      <w:proofErr w:type="spellStart"/>
      <w:r w:rsidR="00A90604"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Pr="002D2922">
        <w:rPr>
          <w:rFonts w:ascii="Arial" w:eastAsia="Arial" w:hAnsi="Arial" w:cs="Arial"/>
          <w:sz w:val="20"/>
          <w:szCs w:val="20"/>
        </w:rPr>
        <w:t xml:space="preserve"> grundsätzlich darauf, die Vorlage der </w:t>
      </w:r>
      <w:r w:rsidR="004A736B">
        <w:rPr>
          <w:rFonts w:ascii="Arial" w:eastAsia="Arial" w:hAnsi="Arial" w:cs="Arial"/>
          <w:sz w:val="20"/>
          <w:szCs w:val="20"/>
        </w:rPr>
        <w:t xml:space="preserve">Endkundenerklärung über </w:t>
      </w:r>
      <w:r w:rsidR="009771C5">
        <w:rPr>
          <w:rFonts w:ascii="Arial" w:eastAsia="Arial" w:hAnsi="Arial" w:cs="Arial"/>
          <w:sz w:val="20"/>
          <w:szCs w:val="20"/>
        </w:rPr>
        <w:t xml:space="preserve">den nicht mehr gewollten Anbieterwechsel </w:t>
      </w:r>
      <w:r w:rsidRPr="002D2922">
        <w:rPr>
          <w:rFonts w:ascii="Arial" w:eastAsia="Arial" w:hAnsi="Arial" w:cs="Arial"/>
          <w:sz w:val="20"/>
          <w:szCs w:val="20"/>
        </w:rPr>
        <w:t xml:space="preserve">zu verlangen. Sie </w:t>
      </w:r>
      <w:r w:rsidR="009B0580">
        <w:rPr>
          <w:rFonts w:ascii="Arial" w:eastAsia="Arial" w:hAnsi="Arial" w:cs="Arial"/>
          <w:sz w:val="20"/>
          <w:szCs w:val="20"/>
        </w:rPr>
        <w:t xml:space="preserve">beenden den Anbieterwechselprozess </w:t>
      </w:r>
      <w:r w:rsidRPr="002D2922">
        <w:rPr>
          <w:rFonts w:ascii="Arial" w:eastAsia="Arial" w:hAnsi="Arial" w:cs="Arial"/>
          <w:sz w:val="20"/>
          <w:szCs w:val="20"/>
        </w:rPr>
        <w:t xml:space="preserve">daher im Vertrauen darauf, dass </w:t>
      </w:r>
      <w:r w:rsidR="004A736B">
        <w:rPr>
          <w:rFonts w:ascii="Arial" w:eastAsia="Arial" w:hAnsi="Arial" w:cs="Arial"/>
          <w:sz w:val="20"/>
          <w:szCs w:val="20"/>
        </w:rPr>
        <w:t xml:space="preserve">der </w:t>
      </w:r>
      <w:r w:rsidR="00AC6F5F">
        <w:rPr>
          <w:rFonts w:ascii="Arial" w:eastAsia="Arial" w:hAnsi="Arial" w:cs="Arial"/>
          <w:sz w:val="20"/>
          <w:szCs w:val="20"/>
        </w:rPr>
        <w:t xml:space="preserve">Endkunde </w:t>
      </w:r>
      <w:r w:rsidR="004A736B">
        <w:rPr>
          <w:rFonts w:ascii="Arial" w:eastAsia="Arial" w:hAnsi="Arial" w:cs="Arial"/>
          <w:sz w:val="20"/>
          <w:szCs w:val="20"/>
        </w:rPr>
        <w:t xml:space="preserve">diese Erklärung gegenüber </w:t>
      </w:r>
      <w:proofErr w:type="spellStart"/>
      <w:r w:rsidR="004A736B">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4A736B">
        <w:rPr>
          <w:rFonts w:ascii="Arial" w:eastAsia="Arial" w:hAnsi="Arial" w:cs="Arial"/>
          <w:sz w:val="20"/>
          <w:szCs w:val="20"/>
        </w:rPr>
        <w:t xml:space="preserve"> abgegeben hat. </w:t>
      </w:r>
      <w:r w:rsidR="007720C1">
        <w:rPr>
          <w:rFonts w:ascii="Arial" w:eastAsia="Arial" w:hAnsi="Arial" w:cs="Arial"/>
          <w:sz w:val="20"/>
          <w:szCs w:val="20"/>
        </w:rPr>
        <w:t xml:space="preserve">Mit der Ablehnung NWE erklärt der </w:t>
      </w:r>
      <w:proofErr w:type="spellStart"/>
      <w:r w:rsidR="007720C1">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7720C1">
        <w:rPr>
          <w:rFonts w:ascii="Arial" w:eastAsia="Arial" w:hAnsi="Arial" w:cs="Arial"/>
          <w:sz w:val="20"/>
          <w:szCs w:val="20"/>
        </w:rPr>
        <w:t>, das</w:t>
      </w:r>
      <w:r w:rsidR="00FA148E">
        <w:rPr>
          <w:rFonts w:ascii="Arial" w:eastAsia="Arial" w:hAnsi="Arial" w:cs="Arial"/>
          <w:sz w:val="20"/>
          <w:szCs w:val="20"/>
        </w:rPr>
        <w:t>s</w:t>
      </w:r>
      <w:r w:rsidR="007720C1">
        <w:rPr>
          <w:rFonts w:ascii="Arial" w:eastAsia="Arial" w:hAnsi="Arial" w:cs="Arial"/>
          <w:sz w:val="20"/>
          <w:szCs w:val="20"/>
        </w:rPr>
        <w:t xml:space="preserve"> eine entsprechende Willenserklärung vorliegt.</w:t>
      </w:r>
    </w:p>
    <w:p w14:paraId="76648201" w14:textId="77777777" w:rsidR="004A736B" w:rsidRDefault="004A736B" w:rsidP="004A736B">
      <w:pPr>
        <w:spacing w:after="60"/>
        <w:ind w:left="567" w:hanging="567"/>
        <w:jc w:val="both"/>
        <w:rPr>
          <w:rFonts w:ascii="Arial" w:eastAsia="Arial" w:hAnsi="Arial" w:cs="Arial"/>
          <w:sz w:val="20"/>
          <w:szCs w:val="20"/>
        </w:rPr>
      </w:pPr>
    </w:p>
    <w:p w14:paraId="76648202" w14:textId="77777777" w:rsidR="00DE03F8" w:rsidRDefault="009B0580" w:rsidP="004A736B">
      <w:pPr>
        <w:spacing w:after="60"/>
        <w:ind w:left="567" w:hanging="567"/>
        <w:jc w:val="both"/>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r>
      <w:r w:rsidR="00F94D05" w:rsidRPr="002D2922">
        <w:rPr>
          <w:rFonts w:ascii="Arial" w:eastAsia="Arial" w:hAnsi="Arial" w:cs="Arial"/>
          <w:sz w:val="20"/>
          <w:szCs w:val="20"/>
        </w:rPr>
        <w:t>Als Endkundenerklärung verstehen die Vertragsparteien Erklärungen des Endkunden</w:t>
      </w:r>
      <w:r w:rsidR="00844285">
        <w:rPr>
          <w:rFonts w:ascii="Arial" w:eastAsia="Arial" w:hAnsi="Arial" w:cs="Arial"/>
          <w:sz w:val="20"/>
          <w:szCs w:val="20"/>
        </w:rPr>
        <w:t xml:space="preserve"> oder </w:t>
      </w:r>
      <w:r w:rsidR="00EF104D">
        <w:rPr>
          <w:rFonts w:ascii="Arial" w:eastAsia="Arial" w:hAnsi="Arial" w:cs="Arial"/>
          <w:sz w:val="20"/>
          <w:szCs w:val="20"/>
        </w:rPr>
        <w:t>eines berechtigten</w:t>
      </w:r>
      <w:r w:rsidR="00844285">
        <w:rPr>
          <w:rFonts w:ascii="Arial" w:eastAsia="Arial" w:hAnsi="Arial" w:cs="Arial"/>
          <w:sz w:val="20"/>
          <w:szCs w:val="20"/>
        </w:rPr>
        <w:t xml:space="preserve"> Dritte</w:t>
      </w:r>
      <w:r w:rsidR="00EF104D">
        <w:rPr>
          <w:rFonts w:ascii="Arial" w:eastAsia="Arial" w:hAnsi="Arial" w:cs="Arial"/>
          <w:sz w:val="20"/>
          <w:szCs w:val="20"/>
        </w:rPr>
        <w:t>n</w:t>
      </w:r>
      <w:r w:rsidR="00F94D05" w:rsidRPr="002D2922">
        <w:rPr>
          <w:rFonts w:ascii="Arial" w:eastAsia="Arial" w:hAnsi="Arial" w:cs="Arial"/>
          <w:sz w:val="20"/>
          <w:szCs w:val="20"/>
        </w:rPr>
        <w:t>, die dieser z.B. per Brief, Fax</w:t>
      </w:r>
      <w:r>
        <w:rPr>
          <w:rFonts w:ascii="Arial" w:eastAsia="Arial" w:hAnsi="Arial" w:cs="Arial"/>
          <w:sz w:val="20"/>
          <w:szCs w:val="20"/>
        </w:rPr>
        <w:t xml:space="preserve">, </w:t>
      </w:r>
      <w:r w:rsidR="00F94D05" w:rsidRPr="002D2922">
        <w:rPr>
          <w:rFonts w:ascii="Arial" w:eastAsia="Arial" w:hAnsi="Arial" w:cs="Arial"/>
          <w:sz w:val="20"/>
          <w:szCs w:val="20"/>
        </w:rPr>
        <w:t xml:space="preserve">E-Mail </w:t>
      </w:r>
      <w:r>
        <w:rPr>
          <w:rFonts w:ascii="Arial" w:eastAsia="Arial" w:hAnsi="Arial" w:cs="Arial"/>
          <w:sz w:val="20"/>
          <w:szCs w:val="20"/>
        </w:rPr>
        <w:t>oder mündlich (zum Beispiel am Telefon</w:t>
      </w:r>
      <w:r w:rsidR="004D5E61">
        <w:rPr>
          <w:rFonts w:ascii="Arial" w:eastAsia="Arial" w:hAnsi="Arial" w:cs="Arial"/>
          <w:sz w:val="20"/>
          <w:szCs w:val="20"/>
        </w:rPr>
        <w:t xml:space="preserve">) </w:t>
      </w:r>
      <w:r w:rsidR="00F94D05" w:rsidRPr="002D2922">
        <w:rPr>
          <w:rFonts w:ascii="Arial" w:eastAsia="Arial" w:hAnsi="Arial" w:cs="Arial"/>
          <w:sz w:val="20"/>
          <w:szCs w:val="20"/>
        </w:rPr>
        <w:t>abgegeben hat</w:t>
      </w:r>
      <w:r w:rsidR="00C36D92">
        <w:rPr>
          <w:rFonts w:ascii="Arial" w:eastAsia="Arial" w:hAnsi="Arial" w:cs="Arial"/>
          <w:sz w:val="20"/>
          <w:szCs w:val="20"/>
        </w:rPr>
        <w:t xml:space="preserve"> Aus dieser Erklärung müssen der Wille des Endkunden sowie die Identität des Endkunden hervorgehen.</w:t>
      </w:r>
    </w:p>
    <w:p w14:paraId="76648203" w14:textId="77777777" w:rsidR="00F94D05" w:rsidRPr="00DE03F8" w:rsidRDefault="00F94D05" w:rsidP="00F94D05">
      <w:pPr>
        <w:pStyle w:val="berschrift1"/>
        <w:ind w:left="0" w:firstLine="0"/>
        <w:rPr>
          <w:sz w:val="20"/>
          <w:szCs w:val="20"/>
        </w:rPr>
      </w:pPr>
      <w:r w:rsidRPr="00DE03F8">
        <w:rPr>
          <w:sz w:val="20"/>
          <w:szCs w:val="20"/>
        </w:rPr>
        <w:t>2.</w:t>
      </w:r>
      <w:r w:rsidRPr="00DE03F8">
        <w:rPr>
          <w:sz w:val="20"/>
          <w:szCs w:val="20"/>
        </w:rPr>
        <w:tab/>
        <w:t xml:space="preserve">Pflichten der </w:t>
      </w:r>
      <w:r w:rsidR="00E64AC8" w:rsidRPr="00DE03F8">
        <w:rPr>
          <w:sz w:val="20"/>
          <w:szCs w:val="20"/>
        </w:rPr>
        <w:t>Vertragsparteien</w:t>
      </w:r>
      <w:r w:rsidRPr="00DE03F8">
        <w:rPr>
          <w:sz w:val="20"/>
          <w:szCs w:val="20"/>
        </w:rPr>
        <w:t xml:space="preserve"> als </w:t>
      </w:r>
      <w:r w:rsidR="006D373B">
        <w:rPr>
          <w:sz w:val="20"/>
          <w:szCs w:val="20"/>
        </w:rPr>
        <w:t>abgebender</w:t>
      </w:r>
      <w:r w:rsidR="006D373B" w:rsidRPr="00DE03F8">
        <w:rPr>
          <w:sz w:val="20"/>
          <w:szCs w:val="20"/>
        </w:rPr>
        <w:t xml:space="preserve"> </w:t>
      </w:r>
      <w:r w:rsidRPr="00DE03F8">
        <w:rPr>
          <w:sz w:val="20"/>
          <w:szCs w:val="20"/>
        </w:rPr>
        <w:t xml:space="preserve">Anbieter </w:t>
      </w:r>
    </w:p>
    <w:p w14:paraId="76648204" w14:textId="77777777" w:rsidR="00E539E8" w:rsidRDefault="00F94D05" w:rsidP="00F94D05">
      <w:pPr>
        <w:spacing w:after="60"/>
        <w:ind w:left="567" w:hanging="567"/>
        <w:jc w:val="both"/>
        <w:rPr>
          <w:rFonts w:ascii="Arial" w:eastAsia="Arial" w:hAnsi="Arial" w:cs="Arial"/>
          <w:sz w:val="20"/>
          <w:szCs w:val="20"/>
        </w:rPr>
      </w:pPr>
      <w:r>
        <w:rPr>
          <w:rFonts w:ascii="Arial" w:eastAsia="Arial" w:hAnsi="Arial" w:cs="Arial"/>
          <w:sz w:val="20"/>
          <w:szCs w:val="20"/>
        </w:rPr>
        <w:t>2</w:t>
      </w:r>
      <w:r w:rsidRPr="002D2922">
        <w:rPr>
          <w:rFonts w:ascii="Arial" w:eastAsia="Arial" w:hAnsi="Arial" w:cs="Arial"/>
          <w:sz w:val="20"/>
          <w:szCs w:val="20"/>
        </w:rPr>
        <w:t>.1</w:t>
      </w:r>
      <w:r w:rsidRPr="002D2922">
        <w:rPr>
          <w:rFonts w:ascii="Arial" w:eastAsia="Arial" w:hAnsi="Arial" w:cs="Arial"/>
          <w:sz w:val="20"/>
          <w:szCs w:val="20"/>
        </w:rPr>
        <w:tab/>
        <w:t xml:space="preserve">Mit der </w:t>
      </w:r>
      <w:r w:rsidR="006D373B">
        <w:rPr>
          <w:rFonts w:ascii="Arial" w:eastAsia="Arial" w:hAnsi="Arial" w:cs="Arial"/>
          <w:sz w:val="20"/>
          <w:szCs w:val="20"/>
        </w:rPr>
        <w:t xml:space="preserve">Ablehnung der Vorabstimmungsanfrage </w:t>
      </w:r>
      <w:r w:rsidR="00E539E8">
        <w:rPr>
          <w:rFonts w:ascii="Arial" w:eastAsia="Arial" w:hAnsi="Arial" w:cs="Arial"/>
          <w:sz w:val="20"/>
          <w:szCs w:val="20"/>
        </w:rPr>
        <w:t>mittels</w:t>
      </w:r>
      <w:r w:rsidR="006D373B">
        <w:rPr>
          <w:rFonts w:ascii="Arial" w:eastAsia="Arial" w:hAnsi="Arial" w:cs="Arial"/>
          <w:sz w:val="20"/>
          <w:szCs w:val="20"/>
        </w:rPr>
        <w:t xml:space="preserve"> Ablehnungsgrund NWE </w:t>
      </w:r>
      <w:r w:rsidRPr="002D2922">
        <w:rPr>
          <w:rFonts w:ascii="Arial" w:eastAsia="Arial" w:hAnsi="Arial" w:cs="Arial"/>
          <w:sz w:val="20"/>
          <w:szCs w:val="20"/>
        </w:rPr>
        <w:t xml:space="preserve">sichert der </w:t>
      </w:r>
      <w:proofErr w:type="spellStart"/>
      <w:r w:rsidR="00043D20"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Pr="002D2922">
        <w:rPr>
          <w:rFonts w:ascii="Arial" w:eastAsia="Arial" w:hAnsi="Arial" w:cs="Arial"/>
          <w:sz w:val="20"/>
          <w:szCs w:val="20"/>
        </w:rPr>
        <w:t xml:space="preserve"> dem </w:t>
      </w:r>
      <w:proofErr w:type="spellStart"/>
      <w:r w:rsidR="00A90604"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Pr="002D2922">
        <w:rPr>
          <w:rFonts w:ascii="Arial" w:eastAsia="Arial" w:hAnsi="Arial" w:cs="Arial"/>
          <w:sz w:val="20"/>
          <w:szCs w:val="20"/>
        </w:rPr>
        <w:t xml:space="preserve"> zu, dass </w:t>
      </w:r>
      <w:r w:rsidR="00E539E8">
        <w:rPr>
          <w:rFonts w:ascii="Arial" w:eastAsia="Arial" w:hAnsi="Arial" w:cs="Arial"/>
          <w:sz w:val="20"/>
          <w:szCs w:val="20"/>
        </w:rPr>
        <w:t xml:space="preserve">der </w:t>
      </w:r>
      <w:r w:rsidR="00E749AB">
        <w:rPr>
          <w:rFonts w:ascii="Arial" w:eastAsia="Arial" w:hAnsi="Arial" w:cs="Arial"/>
          <w:sz w:val="20"/>
          <w:szCs w:val="20"/>
        </w:rPr>
        <w:t xml:space="preserve">Endkunde </w:t>
      </w:r>
      <w:r w:rsidR="00E539E8">
        <w:rPr>
          <w:rFonts w:ascii="Arial" w:eastAsia="Arial" w:hAnsi="Arial" w:cs="Arial"/>
          <w:sz w:val="20"/>
          <w:szCs w:val="20"/>
        </w:rPr>
        <w:t xml:space="preserve">ihm gegenüber erklärt hat, nicht zu </w:t>
      </w:r>
      <w:proofErr w:type="spellStart"/>
      <w:r w:rsidR="00E539E8">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E539E8">
        <w:rPr>
          <w:rFonts w:ascii="Arial" w:eastAsia="Arial" w:hAnsi="Arial" w:cs="Arial"/>
          <w:sz w:val="20"/>
          <w:szCs w:val="20"/>
        </w:rPr>
        <w:t xml:space="preserve"> wechseln zu wollen. </w:t>
      </w:r>
    </w:p>
    <w:p w14:paraId="76648205" w14:textId="34EB453F" w:rsidR="00A31083" w:rsidRPr="002D2922" w:rsidRDefault="00E539E8" w:rsidP="00BB77DA">
      <w:pPr>
        <w:spacing w:after="60"/>
        <w:ind w:left="567" w:hanging="567"/>
        <w:jc w:val="both"/>
        <w:rPr>
          <w:rFonts w:ascii="Arial" w:eastAsia="Arial" w:hAnsi="Arial" w:cs="Arial"/>
          <w:sz w:val="20"/>
          <w:szCs w:val="20"/>
        </w:rPr>
      </w:pPr>
      <w:r>
        <w:rPr>
          <w:rFonts w:ascii="Arial" w:eastAsia="Arial" w:hAnsi="Arial" w:cs="Arial"/>
          <w:sz w:val="20"/>
          <w:szCs w:val="20"/>
        </w:rPr>
        <w:t>2</w:t>
      </w:r>
      <w:r w:rsidR="00F94D05" w:rsidRPr="002D2922">
        <w:rPr>
          <w:rFonts w:ascii="Arial" w:eastAsia="Arial" w:hAnsi="Arial" w:cs="Arial"/>
          <w:sz w:val="20"/>
          <w:szCs w:val="20"/>
        </w:rPr>
        <w:t>.</w:t>
      </w:r>
      <w:r>
        <w:rPr>
          <w:rFonts w:ascii="Arial" w:eastAsia="Arial" w:hAnsi="Arial" w:cs="Arial"/>
          <w:sz w:val="20"/>
          <w:szCs w:val="20"/>
        </w:rPr>
        <w:t>2</w:t>
      </w:r>
      <w:r w:rsidR="00F94D05" w:rsidRPr="002D2922">
        <w:rPr>
          <w:rFonts w:ascii="Arial" w:eastAsia="Arial" w:hAnsi="Arial" w:cs="Arial"/>
          <w:sz w:val="20"/>
          <w:szCs w:val="20"/>
        </w:rPr>
        <w:tab/>
        <w:t xml:space="preserve">Der </w:t>
      </w:r>
      <w:proofErr w:type="spellStart"/>
      <w:r w:rsidR="00043D20"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F94D05" w:rsidRPr="002D2922">
        <w:rPr>
          <w:rFonts w:ascii="Arial" w:eastAsia="Arial" w:hAnsi="Arial" w:cs="Arial"/>
          <w:sz w:val="20"/>
          <w:szCs w:val="20"/>
        </w:rPr>
        <w:t xml:space="preserve"> weist gegenüber dem </w:t>
      </w:r>
      <w:proofErr w:type="spellStart"/>
      <w:r w:rsidR="00043D20"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F94D05" w:rsidRPr="002D2922">
        <w:rPr>
          <w:rFonts w:ascii="Arial" w:eastAsia="Arial" w:hAnsi="Arial" w:cs="Arial"/>
          <w:sz w:val="20"/>
          <w:szCs w:val="20"/>
        </w:rPr>
        <w:t xml:space="preserve"> auf dessen </w:t>
      </w:r>
      <w:r w:rsidR="00C55E3D" w:rsidRPr="00BB14C2">
        <w:rPr>
          <w:rFonts w:ascii="Arial" w:eastAsia="Arial" w:hAnsi="Arial" w:cs="Arial"/>
          <w:sz w:val="20"/>
          <w:szCs w:val="20"/>
        </w:rPr>
        <w:t xml:space="preserve">innerhalb einer Frist von </w:t>
      </w:r>
      <w:r w:rsidR="00BB77DA" w:rsidRPr="001443C8">
        <w:rPr>
          <w:rFonts w:ascii="Arial" w:eastAsia="Arial" w:hAnsi="Arial" w:cs="Arial"/>
          <w:sz w:val="20"/>
          <w:szCs w:val="20"/>
        </w:rPr>
        <w:t>3 Monaten</w:t>
      </w:r>
      <w:r w:rsidR="00C55E3D" w:rsidRPr="001443C8">
        <w:rPr>
          <w:rFonts w:ascii="Arial" w:eastAsia="Arial" w:hAnsi="Arial" w:cs="Arial"/>
          <w:sz w:val="20"/>
          <w:szCs w:val="20"/>
        </w:rPr>
        <w:t xml:space="preserve"> </w:t>
      </w:r>
      <w:r w:rsidR="00C55E3D" w:rsidRPr="00BB14C2">
        <w:rPr>
          <w:rFonts w:ascii="Arial" w:eastAsia="Arial" w:hAnsi="Arial" w:cs="Arial"/>
          <w:sz w:val="20"/>
          <w:szCs w:val="20"/>
        </w:rPr>
        <w:t>seit Zugang des Meldecodes NWE zu äußerndes</w:t>
      </w:r>
      <w:r w:rsidR="00C55E3D" w:rsidRPr="002D2922">
        <w:rPr>
          <w:rFonts w:ascii="Arial" w:eastAsia="Arial" w:hAnsi="Arial" w:cs="Arial"/>
          <w:sz w:val="20"/>
          <w:szCs w:val="20"/>
        </w:rPr>
        <w:t xml:space="preserve"> </w:t>
      </w:r>
      <w:r w:rsidR="00F94D05" w:rsidRPr="002D2922">
        <w:rPr>
          <w:rFonts w:ascii="Arial" w:eastAsia="Arial" w:hAnsi="Arial" w:cs="Arial"/>
          <w:sz w:val="20"/>
          <w:szCs w:val="20"/>
        </w:rPr>
        <w:t>Verlangen hin die Erklärung des Endkunden</w:t>
      </w:r>
      <w:r w:rsidR="004D5E61">
        <w:rPr>
          <w:rFonts w:ascii="Arial" w:eastAsia="Arial" w:hAnsi="Arial" w:cs="Arial"/>
          <w:sz w:val="20"/>
          <w:szCs w:val="20"/>
        </w:rPr>
        <w:t>,</w:t>
      </w:r>
      <w:r w:rsidR="0091189A">
        <w:rPr>
          <w:rFonts w:ascii="Arial" w:eastAsia="Arial" w:hAnsi="Arial" w:cs="Arial"/>
          <w:sz w:val="20"/>
          <w:szCs w:val="20"/>
        </w:rPr>
        <w:t xml:space="preserve"> </w:t>
      </w:r>
      <w:r w:rsidR="00812773">
        <w:rPr>
          <w:rFonts w:ascii="Arial" w:eastAsia="Arial" w:hAnsi="Arial" w:cs="Arial"/>
          <w:sz w:val="20"/>
          <w:szCs w:val="20"/>
        </w:rPr>
        <w:t xml:space="preserve">nicht zu </w:t>
      </w:r>
      <w:proofErr w:type="spellStart"/>
      <w:r w:rsidR="00812773">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812773">
        <w:rPr>
          <w:rFonts w:ascii="Arial" w:eastAsia="Arial" w:hAnsi="Arial" w:cs="Arial"/>
          <w:sz w:val="20"/>
          <w:szCs w:val="20"/>
        </w:rPr>
        <w:t xml:space="preserve"> wechseln zu wollen, nach.</w:t>
      </w:r>
      <w:r w:rsidR="00A31083" w:rsidRPr="00AC6F5F">
        <w:rPr>
          <w:rFonts w:ascii="Arial" w:eastAsia="Arial" w:hAnsi="Arial" w:cs="Arial"/>
          <w:color w:val="F7CAAC"/>
          <w:sz w:val="20"/>
          <w:szCs w:val="20"/>
        </w:rPr>
        <w:t xml:space="preserve"> </w:t>
      </w:r>
    </w:p>
    <w:p w14:paraId="76648206" w14:textId="77777777" w:rsidR="00F94D05" w:rsidRDefault="00B85DB4" w:rsidP="00F94D05">
      <w:pPr>
        <w:spacing w:after="60"/>
        <w:ind w:left="567" w:hanging="567"/>
        <w:jc w:val="both"/>
        <w:rPr>
          <w:rFonts w:ascii="Arial" w:eastAsia="Arial" w:hAnsi="Arial" w:cs="Arial"/>
          <w:sz w:val="20"/>
          <w:szCs w:val="20"/>
        </w:rPr>
      </w:pPr>
      <w:r>
        <w:rPr>
          <w:rFonts w:ascii="Arial" w:eastAsia="Arial" w:hAnsi="Arial" w:cs="Arial"/>
          <w:sz w:val="20"/>
          <w:szCs w:val="20"/>
        </w:rPr>
        <w:t>2</w:t>
      </w:r>
      <w:r w:rsidR="00F94D05" w:rsidRPr="002D2922">
        <w:rPr>
          <w:rFonts w:ascii="Arial" w:eastAsia="Arial" w:hAnsi="Arial" w:cs="Arial"/>
          <w:sz w:val="20"/>
          <w:szCs w:val="20"/>
        </w:rPr>
        <w:t>.</w:t>
      </w:r>
      <w:r>
        <w:rPr>
          <w:rFonts w:ascii="Arial" w:eastAsia="Arial" w:hAnsi="Arial" w:cs="Arial"/>
          <w:sz w:val="20"/>
          <w:szCs w:val="20"/>
        </w:rPr>
        <w:t>3</w:t>
      </w:r>
      <w:r w:rsidR="00F94D05" w:rsidRPr="002D2922">
        <w:rPr>
          <w:rFonts w:ascii="Arial" w:eastAsia="Arial" w:hAnsi="Arial" w:cs="Arial"/>
          <w:sz w:val="20"/>
          <w:szCs w:val="20"/>
        </w:rPr>
        <w:tab/>
        <w:t xml:space="preserve">Der Nachweis muss dem </w:t>
      </w:r>
      <w:proofErr w:type="spellStart"/>
      <w:r w:rsidR="00043D20"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F94D05" w:rsidRPr="002D2922">
        <w:rPr>
          <w:rFonts w:ascii="Arial" w:eastAsia="Arial" w:hAnsi="Arial" w:cs="Arial"/>
          <w:sz w:val="20"/>
          <w:szCs w:val="20"/>
        </w:rPr>
        <w:t xml:space="preserve"> innerhalb von </w:t>
      </w:r>
      <w:r w:rsidR="00F94D05" w:rsidRPr="008D42A1">
        <w:rPr>
          <w:rFonts w:ascii="Arial" w:eastAsia="Arial" w:hAnsi="Arial" w:cs="Arial"/>
          <w:sz w:val="20"/>
          <w:szCs w:val="20"/>
        </w:rPr>
        <w:t>48</w:t>
      </w:r>
      <w:r w:rsidR="00F94D05" w:rsidRPr="002D2922">
        <w:rPr>
          <w:rFonts w:ascii="Arial" w:eastAsia="Arial" w:hAnsi="Arial" w:cs="Arial"/>
          <w:sz w:val="20"/>
          <w:szCs w:val="20"/>
        </w:rPr>
        <w:t> Stunden ab dem Zugang des Nachweisverlangens zugehen. Wochenenden (Samstag und Sonntag) und bundeseinheitliche Feiertage werden auf die Frist nicht angerechnet.</w:t>
      </w:r>
    </w:p>
    <w:p w14:paraId="76648207" w14:textId="77777777" w:rsidR="00DB35CD" w:rsidRPr="002D2922" w:rsidRDefault="00DB35CD" w:rsidP="00F94D05">
      <w:pPr>
        <w:spacing w:after="60"/>
        <w:ind w:left="567" w:hanging="567"/>
        <w:jc w:val="both"/>
        <w:rPr>
          <w:rFonts w:ascii="Arial" w:eastAsia="Arial" w:hAnsi="Arial" w:cs="Arial"/>
          <w:sz w:val="20"/>
          <w:szCs w:val="20"/>
        </w:rPr>
      </w:pPr>
      <w:r>
        <w:rPr>
          <w:rFonts w:ascii="Arial" w:eastAsia="Arial" w:hAnsi="Arial" w:cs="Arial"/>
          <w:sz w:val="20"/>
          <w:szCs w:val="20"/>
        </w:rPr>
        <w:tab/>
        <w:t xml:space="preserve">Geht das Verlangen des Nachweises dem </w:t>
      </w:r>
      <w:proofErr w:type="spellStart"/>
      <w:r>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Pr="00DB35CD">
        <w:rPr>
          <w:rFonts w:ascii="Arial" w:eastAsia="Arial" w:hAnsi="Arial" w:cs="Arial"/>
          <w:sz w:val="20"/>
          <w:szCs w:val="20"/>
        </w:rPr>
        <w:t xml:space="preserve"> </w:t>
      </w:r>
      <w:r>
        <w:rPr>
          <w:rFonts w:ascii="Arial" w:eastAsia="Arial" w:hAnsi="Arial" w:cs="Arial"/>
          <w:sz w:val="20"/>
          <w:szCs w:val="20"/>
        </w:rPr>
        <w:t>nach 17.00 Uhr zu, beginnt die Frist um 08:00 Uhr des folgenden Werktags.</w:t>
      </w:r>
    </w:p>
    <w:p w14:paraId="76648208" w14:textId="77777777" w:rsidR="00F94D05" w:rsidRPr="002D2922" w:rsidRDefault="006B374C" w:rsidP="00F94D05">
      <w:pPr>
        <w:spacing w:after="60"/>
        <w:ind w:left="567" w:hanging="567"/>
        <w:jc w:val="both"/>
        <w:rPr>
          <w:rFonts w:ascii="Arial" w:eastAsia="Arial" w:hAnsi="Arial" w:cs="Arial"/>
          <w:sz w:val="20"/>
          <w:szCs w:val="20"/>
        </w:rPr>
      </w:pPr>
      <w:r>
        <w:rPr>
          <w:rFonts w:ascii="Arial" w:eastAsia="Arial" w:hAnsi="Arial" w:cs="Arial"/>
          <w:sz w:val="20"/>
          <w:szCs w:val="20"/>
        </w:rPr>
        <w:t>2</w:t>
      </w:r>
      <w:r w:rsidR="00F94D05" w:rsidRPr="002D2922">
        <w:rPr>
          <w:rFonts w:ascii="Arial" w:eastAsia="Arial" w:hAnsi="Arial" w:cs="Arial"/>
          <w:sz w:val="20"/>
          <w:szCs w:val="20"/>
        </w:rPr>
        <w:t>.</w:t>
      </w:r>
      <w:r>
        <w:rPr>
          <w:rFonts w:ascii="Arial" w:eastAsia="Arial" w:hAnsi="Arial" w:cs="Arial"/>
          <w:sz w:val="20"/>
          <w:szCs w:val="20"/>
        </w:rPr>
        <w:t>4</w:t>
      </w:r>
      <w:r w:rsidR="00F94D05" w:rsidRPr="002D2922">
        <w:rPr>
          <w:rFonts w:ascii="Arial" w:eastAsia="Arial" w:hAnsi="Arial" w:cs="Arial"/>
          <w:sz w:val="20"/>
          <w:szCs w:val="20"/>
        </w:rPr>
        <w:tab/>
        <w:t xml:space="preserve">Der </w:t>
      </w:r>
      <w:proofErr w:type="spellStart"/>
      <w:r w:rsidR="00043D20"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F94D05" w:rsidRPr="002D2922">
        <w:rPr>
          <w:rFonts w:ascii="Arial" w:eastAsia="Arial" w:hAnsi="Arial" w:cs="Arial"/>
          <w:sz w:val="20"/>
          <w:szCs w:val="20"/>
        </w:rPr>
        <w:t xml:space="preserve"> führt den Nachweis durch die Übermittlung der Endkundenerklärungen an den </w:t>
      </w:r>
      <w:proofErr w:type="spellStart"/>
      <w:r w:rsidR="007D7614"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F94D05" w:rsidRPr="002D2922">
        <w:rPr>
          <w:rFonts w:ascii="Arial" w:eastAsia="Arial" w:hAnsi="Arial" w:cs="Arial"/>
          <w:sz w:val="20"/>
          <w:szCs w:val="20"/>
        </w:rPr>
        <w:t>.</w:t>
      </w:r>
      <w:r w:rsidR="00B85DB4">
        <w:rPr>
          <w:rFonts w:ascii="Arial" w:eastAsia="Arial" w:hAnsi="Arial" w:cs="Arial"/>
          <w:sz w:val="20"/>
          <w:szCs w:val="20"/>
        </w:rPr>
        <w:t xml:space="preserve"> Der Nachweis kann als Sprachdatei (</w:t>
      </w:r>
      <w:proofErr w:type="spellStart"/>
      <w:r w:rsidR="00B85DB4">
        <w:rPr>
          <w:rFonts w:ascii="Arial" w:eastAsia="Arial" w:hAnsi="Arial" w:cs="Arial"/>
          <w:sz w:val="20"/>
          <w:szCs w:val="20"/>
        </w:rPr>
        <w:t>Voicefile</w:t>
      </w:r>
      <w:proofErr w:type="spellEnd"/>
      <w:r w:rsidR="00B85DB4">
        <w:rPr>
          <w:rFonts w:ascii="Arial" w:eastAsia="Arial" w:hAnsi="Arial" w:cs="Arial"/>
          <w:sz w:val="20"/>
          <w:szCs w:val="20"/>
        </w:rPr>
        <w:t xml:space="preserve">) in einem gängigen Dateiformat oder mittels Erklärung des </w:t>
      </w:r>
      <w:r w:rsidR="00E749AB">
        <w:rPr>
          <w:rFonts w:ascii="Arial" w:eastAsia="Arial" w:hAnsi="Arial" w:cs="Arial"/>
          <w:sz w:val="20"/>
          <w:szCs w:val="20"/>
        </w:rPr>
        <w:t xml:space="preserve">Endkunden </w:t>
      </w:r>
      <w:r w:rsidR="00B85DB4">
        <w:rPr>
          <w:rFonts w:ascii="Arial" w:eastAsia="Arial" w:hAnsi="Arial" w:cs="Arial"/>
          <w:sz w:val="20"/>
          <w:szCs w:val="20"/>
        </w:rPr>
        <w:t xml:space="preserve">in Textform (Brief, Fax, </w:t>
      </w:r>
      <w:r w:rsidR="00F154AB">
        <w:rPr>
          <w:rFonts w:ascii="Arial" w:eastAsia="Arial" w:hAnsi="Arial" w:cs="Arial"/>
          <w:sz w:val="20"/>
          <w:szCs w:val="20"/>
        </w:rPr>
        <w:t>E-</w:t>
      </w:r>
      <w:r w:rsidR="00B85DB4">
        <w:rPr>
          <w:rFonts w:ascii="Arial" w:eastAsia="Arial" w:hAnsi="Arial" w:cs="Arial"/>
          <w:sz w:val="20"/>
          <w:szCs w:val="20"/>
        </w:rPr>
        <w:t xml:space="preserve">Mail) </w:t>
      </w:r>
      <w:r w:rsidR="009771C5" w:rsidRPr="001443C8">
        <w:rPr>
          <w:rFonts w:ascii="Arial" w:eastAsia="Arial" w:hAnsi="Arial" w:cs="Arial"/>
          <w:sz w:val="20"/>
          <w:szCs w:val="20"/>
          <w:highlight w:val="yellow"/>
        </w:rPr>
        <w:t xml:space="preserve">oder durch eidesstattliche Versicherung des Empfängers der Endkundenerklärung </w:t>
      </w:r>
      <w:r w:rsidR="00B85DB4" w:rsidRPr="00487726">
        <w:rPr>
          <w:rFonts w:ascii="Arial" w:eastAsia="Arial" w:hAnsi="Arial" w:cs="Arial"/>
          <w:sz w:val="20"/>
          <w:szCs w:val="20"/>
        </w:rPr>
        <w:t>erfolgen.</w:t>
      </w:r>
    </w:p>
    <w:p w14:paraId="76648209" w14:textId="77777777" w:rsidR="00F94D05" w:rsidRPr="002D2922" w:rsidRDefault="006B374C" w:rsidP="00F94D05">
      <w:pPr>
        <w:spacing w:after="60"/>
        <w:ind w:left="567" w:hanging="567"/>
        <w:jc w:val="both"/>
        <w:rPr>
          <w:rFonts w:ascii="Arial" w:eastAsia="Arial" w:hAnsi="Arial" w:cs="Arial"/>
          <w:sz w:val="20"/>
          <w:szCs w:val="20"/>
        </w:rPr>
      </w:pPr>
      <w:r>
        <w:rPr>
          <w:rFonts w:ascii="Arial" w:eastAsia="Arial" w:hAnsi="Arial" w:cs="Arial"/>
          <w:sz w:val="20"/>
          <w:szCs w:val="20"/>
        </w:rPr>
        <w:t>2</w:t>
      </w:r>
      <w:r w:rsidR="00F94D05" w:rsidRPr="002D2922">
        <w:rPr>
          <w:rFonts w:ascii="Arial" w:eastAsia="Arial" w:hAnsi="Arial" w:cs="Arial"/>
          <w:sz w:val="20"/>
          <w:szCs w:val="20"/>
        </w:rPr>
        <w:t>.</w:t>
      </w:r>
      <w:r>
        <w:rPr>
          <w:rFonts w:ascii="Arial" w:eastAsia="Arial" w:hAnsi="Arial" w:cs="Arial"/>
          <w:sz w:val="20"/>
          <w:szCs w:val="20"/>
        </w:rPr>
        <w:t>5</w:t>
      </w:r>
      <w:r w:rsidR="00F94D05" w:rsidRPr="002D2922">
        <w:rPr>
          <w:rFonts w:ascii="Arial" w:eastAsia="Arial" w:hAnsi="Arial" w:cs="Arial"/>
          <w:sz w:val="20"/>
          <w:szCs w:val="20"/>
        </w:rPr>
        <w:tab/>
        <w:t xml:space="preserve">Die Übermittlung des Nachweisverlangens zwischen den Vertragspartnern erfolgt per Fax, als gescannte Datei per </w:t>
      </w:r>
      <w:r w:rsidR="00B85DB4">
        <w:rPr>
          <w:rFonts w:ascii="Arial" w:eastAsia="Arial" w:hAnsi="Arial" w:cs="Arial"/>
          <w:sz w:val="20"/>
          <w:szCs w:val="20"/>
        </w:rPr>
        <w:t xml:space="preserve">E-Mail oder per </w:t>
      </w:r>
      <w:r w:rsidR="00F94D05" w:rsidRPr="002D2922">
        <w:rPr>
          <w:rFonts w:ascii="Arial" w:eastAsia="Arial" w:hAnsi="Arial" w:cs="Arial"/>
          <w:sz w:val="20"/>
          <w:szCs w:val="20"/>
        </w:rPr>
        <w:t>E-Mail.</w:t>
      </w:r>
    </w:p>
    <w:p w14:paraId="7664820A" w14:textId="77777777" w:rsidR="00F94D05" w:rsidRPr="002D2922" w:rsidRDefault="006B374C" w:rsidP="00F94D05">
      <w:pPr>
        <w:spacing w:after="60"/>
        <w:ind w:left="567" w:hanging="567"/>
        <w:jc w:val="both"/>
        <w:rPr>
          <w:rFonts w:ascii="Arial" w:eastAsia="Arial" w:hAnsi="Arial" w:cs="Arial"/>
          <w:sz w:val="20"/>
          <w:szCs w:val="20"/>
        </w:rPr>
      </w:pPr>
      <w:r>
        <w:rPr>
          <w:rFonts w:ascii="Arial" w:eastAsia="Arial" w:hAnsi="Arial" w:cs="Arial"/>
          <w:sz w:val="20"/>
          <w:szCs w:val="20"/>
        </w:rPr>
        <w:t>2</w:t>
      </w:r>
      <w:r w:rsidR="00F94D05" w:rsidRPr="002D2922">
        <w:rPr>
          <w:rFonts w:ascii="Arial" w:eastAsia="Arial" w:hAnsi="Arial" w:cs="Arial"/>
          <w:sz w:val="20"/>
          <w:szCs w:val="20"/>
        </w:rPr>
        <w:t>.</w:t>
      </w:r>
      <w:r>
        <w:rPr>
          <w:rFonts w:ascii="Arial" w:eastAsia="Arial" w:hAnsi="Arial" w:cs="Arial"/>
          <w:sz w:val="20"/>
          <w:szCs w:val="20"/>
        </w:rPr>
        <w:t>6</w:t>
      </w:r>
      <w:r w:rsidR="00F94D05" w:rsidRPr="002D2922">
        <w:rPr>
          <w:rFonts w:ascii="Arial" w:eastAsia="Arial" w:hAnsi="Arial" w:cs="Arial"/>
          <w:sz w:val="20"/>
          <w:szCs w:val="20"/>
        </w:rPr>
        <w:tab/>
        <w:t xml:space="preserve">Die </w:t>
      </w:r>
      <w:r w:rsidR="00E64AC8">
        <w:rPr>
          <w:rFonts w:ascii="Arial" w:eastAsia="Arial" w:hAnsi="Arial" w:cs="Arial"/>
          <w:sz w:val="20"/>
          <w:szCs w:val="20"/>
        </w:rPr>
        <w:t>Vertragsparteien</w:t>
      </w:r>
      <w:r w:rsidR="00F94D05" w:rsidRPr="002D2922">
        <w:rPr>
          <w:rFonts w:ascii="Arial" w:eastAsia="Arial" w:hAnsi="Arial" w:cs="Arial"/>
          <w:sz w:val="20"/>
          <w:szCs w:val="20"/>
        </w:rPr>
        <w:t xml:space="preserve"> benennen einander jeweils eine für die Übermittlung verbindliche Fax-Nummer und </w:t>
      </w:r>
      <w:r w:rsidR="00043D20" w:rsidRPr="002D2922">
        <w:rPr>
          <w:rFonts w:ascii="Arial" w:eastAsia="Arial" w:hAnsi="Arial" w:cs="Arial"/>
          <w:sz w:val="20"/>
          <w:szCs w:val="20"/>
        </w:rPr>
        <w:t>E</w:t>
      </w:r>
      <w:r w:rsidR="00043D20">
        <w:rPr>
          <w:rFonts w:ascii="Arial" w:eastAsia="Arial" w:hAnsi="Arial" w:cs="Arial"/>
          <w:sz w:val="20"/>
          <w:szCs w:val="20"/>
        </w:rPr>
        <w:t>-</w:t>
      </w:r>
      <w:r w:rsidR="00F94D05" w:rsidRPr="002D2922">
        <w:rPr>
          <w:rFonts w:ascii="Arial" w:eastAsia="Arial" w:hAnsi="Arial" w:cs="Arial"/>
          <w:sz w:val="20"/>
          <w:szCs w:val="20"/>
        </w:rPr>
        <w:t>Mail-Adresse.</w:t>
      </w:r>
    </w:p>
    <w:p w14:paraId="7664820B" w14:textId="77777777" w:rsidR="00F94D05" w:rsidRPr="002D2922" w:rsidRDefault="006B374C" w:rsidP="00F94D05">
      <w:pPr>
        <w:spacing w:after="60"/>
        <w:ind w:left="567" w:hanging="567"/>
        <w:jc w:val="both"/>
        <w:rPr>
          <w:rFonts w:ascii="Arial" w:eastAsia="Arial" w:hAnsi="Arial" w:cs="Arial"/>
          <w:sz w:val="20"/>
          <w:szCs w:val="20"/>
        </w:rPr>
      </w:pPr>
      <w:r>
        <w:rPr>
          <w:rFonts w:ascii="Arial" w:eastAsia="Arial" w:hAnsi="Arial" w:cs="Arial"/>
          <w:sz w:val="20"/>
          <w:szCs w:val="20"/>
        </w:rPr>
        <w:t>2</w:t>
      </w:r>
      <w:r w:rsidR="00F94D05" w:rsidRPr="002D2922">
        <w:rPr>
          <w:rFonts w:ascii="Arial" w:eastAsia="Arial" w:hAnsi="Arial" w:cs="Arial"/>
          <w:sz w:val="20"/>
          <w:szCs w:val="20"/>
        </w:rPr>
        <w:t>.</w:t>
      </w:r>
      <w:r>
        <w:rPr>
          <w:rFonts w:ascii="Arial" w:eastAsia="Arial" w:hAnsi="Arial" w:cs="Arial"/>
          <w:sz w:val="20"/>
          <w:szCs w:val="20"/>
        </w:rPr>
        <w:t>7</w:t>
      </w:r>
      <w:r w:rsidR="00F94D05" w:rsidRPr="002D2922">
        <w:rPr>
          <w:rFonts w:ascii="Arial" w:eastAsia="Arial" w:hAnsi="Arial" w:cs="Arial"/>
          <w:sz w:val="20"/>
          <w:szCs w:val="20"/>
        </w:rPr>
        <w:tab/>
        <w:t xml:space="preserve">Der </w:t>
      </w:r>
      <w:proofErr w:type="spellStart"/>
      <w:r w:rsidR="00977077"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F94D05" w:rsidRPr="002D2922">
        <w:rPr>
          <w:rFonts w:ascii="Arial" w:eastAsia="Arial" w:hAnsi="Arial" w:cs="Arial"/>
          <w:sz w:val="20"/>
          <w:szCs w:val="20"/>
        </w:rPr>
        <w:t xml:space="preserve"> ist verpflichtet, die Endkundenerklärungen nach </w:t>
      </w:r>
      <w:r w:rsidR="00B85DB4">
        <w:rPr>
          <w:rFonts w:ascii="Arial" w:eastAsia="Arial" w:hAnsi="Arial" w:cs="Arial"/>
          <w:sz w:val="20"/>
          <w:szCs w:val="20"/>
        </w:rPr>
        <w:t xml:space="preserve">Ablehnung der Vorabstimmungsanfrage mittels Ablehnungsgrund NWE </w:t>
      </w:r>
      <w:r w:rsidR="00F94D05" w:rsidRPr="002D2922">
        <w:rPr>
          <w:rFonts w:ascii="Arial" w:eastAsia="Arial" w:hAnsi="Arial" w:cs="Arial"/>
          <w:sz w:val="20"/>
          <w:szCs w:val="20"/>
        </w:rPr>
        <w:t xml:space="preserve">an den </w:t>
      </w:r>
      <w:proofErr w:type="spellStart"/>
      <w:r w:rsidR="00977077"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F94D05" w:rsidRPr="002D2922">
        <w:rPr>
          <w:rFonts w:ascii="Arial" w:eastAsia="Arial" w:hAnsi="Arial" w:cs="Arial"/>
          <w:sz w:val="20"/>
          <w:szCs w:val="20"/>
        </w:rPr>
        <w:t xml:space="preserve"> </w:t>
      </w:r>
      <w:r w:rsidR="001A0042">
        <w:rPr>
          <w:rFonts w:ascii="Arial" w:eastAsia="Arial" w:hAnsi="Arial" w:cs="Arial"/>
          <w:sz w:val="20"/>
          <w:szCs w:val="20"/>
        </w:rPr>
        <w:t xml:space="preserve">mindestens 12 Monate </w:t>
      </w:r>
      <w:r w:rsidR="00F94D05" w:rsidRPr="002D2922">
        <w:rPr>
          <w:rFonts w:ascii="Arial" w:eastAsia="Arial" w:hAnsi="Arial" w:cs="Arial"/>
          <w:sz w:val="20"/>
          <w:szCs w:val="20"/>
        </w:rPr>
        <w:t>vorzuhalten.</w:t>
      </w:r>
    </w:p>
    <w:p w14:paraId="7664820C" w14:textId="77777777" w:rsidR="00F94D05" w:rsidRPr="002D2922" w:rsidRDefault="006B374C" w:rsidP="00F94D05">
      <w:pPr>
        <w:pStyle w:val="berschrift1"/>
        <w:ind w:left="0" w:firstLine="0"/>
        <w:rPr>
          <w:sz w:val="20"/>
          <w:szCs w:val="20"/>
        </w:rPr>
      </w:pPr>
      <w:r>
        <w:rPr>
          <w:sz w:val="20"/>
          <w:szCs w:val="20"/>
        </w:rPr>
        <w:lastRenderedPageBreak/>
        <w:t>3</w:t>
      </w:r>
      <w:r w:rsidR="00F94D05" w:rsidRPr="002D2922">
        <w:rPr>
          <w:sz w:val="20"/>
          <w:szCs w:val="20"/>
        </w:rPr>
        <w:t>.</w:t>
      </w:r>
      <w:r w:rsidR="00F94D05" w:rsidRPr="002D2922">
        <w:rPr>
          <w:sz w:val="20"/>
          <w:szCs w:val="20"/>
        </w:rPr>
        <w:tab/>
        <w:t xml:space="preserve">Pflichten der </w:t>
      </w:r>
      <w:r w:rsidR="00E64AC8">
        <w:rPr>
          <w:sz w:val="20"/>
          <w:szCs w:val="20"/>
        </w:rPr>
        <w:t>Vertragsparteien</w:t>
      </w:r>
      <w:r w:rsidR="00F94D05" w:rsidRPr="002D2922">
        <w:rPr>
          <w:sz w:val="20"/>
          <w:szCs w:val="20"/>
        </w:rPr>
        <w:t xml:space="preserve"> als </w:t>
      </w:r>
      <w:r>
        <w:rPr>
          <w:sz w:val="20"/>
          <w:szCs w:val="20"/>
        </w:rPr>
        <w:t>aufnehmender</w:t>
      </w:r>
      <w:r w:rsidRPr="002D2922">
        <w:rPr>
          <w:sz w:val="20"/>
          <w:szCs w:val="20"/>
        </w:rPr>
        <w:t xml:space="preserve"> </w:t>
      </w:r>
      <w:r w:rsidR="00F94D05" w:rsidRPr="002D2922">
        <w:rPr>
          <w:sz w:val="20"/>
          <w:szCs w:val="20"/>
        </w:rPr>
        <w:t>Anbieter</w:t>
      </w:r>
    </w:p>
    <w:p w14:paraId="7664820D" w14:textId="77777777" w:rsidR="00F94D05" w:rsidRPr="002D2922" w:rsidRDefault="006B374C" w:rsidP="00F94D05">
      <w:pPr>
        <w:spacing w:after="60"/>
        <w:ind w:left="567" w:hanging="567"/>
        <w:jc w:val="both"/>
        <w:rPr>
          <w:rFonts w:ascii="Arial" w:eastAsia="Arial" w:hAnsi="Arial" w:cs="Arial"/>
          <w:sz w:val="20"/>
          <w:szCs w:val="20"/>
        </w:rPr>
      </w:pPr>
      <w:r>
        <w:rPr>
          <w:rFonts w:ascii="Arial" w:eastAsia="Arial" w:hAnsi="Arial" w:cs="Arial"/>
          <w:sz w:val="20"/>
          <w:szCs w:val="20"/>
        </w:rPr>
        <w:t>3</w:t>
      </w:r>
      <w:r w:rsidR="00F94D05" w:rsidRPr="002D2922">
        <w:rPr>
          <w:rFonts w:ascii="Arial" w:eastAsia="Arial" w:hAnsi="Arial" w:cs="Arial"/>
          <w:sz w:val="20"/>
          <w:szCs w:val="20"/>
        </w:rPr>
        <w:t>.1</w:t>
      </w:r>
      <w:r w:rsidR="00F94D05" w:rsidRPr="002D2922">
        <w:rPr>
          <w:rFonts w:ascii="Arial" w:eastAsia="Arial" w:hAnsi="Arial" w:cs="Arial"/>
          <w:sz w:val="20"/>
          <w:szCs w:val="20"/>
        </w:rPr>
        <w:tab/>
        <w:t xml:space="preserve">Der </w:t>
      </w:r>
      <w:proofErr w:type="spellStart"/>
      <w:r w:rsidR="003D57B5"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F94D05" w:rsidRPr="002D2922">
        <w:rPr>
          <w:rFonts w:ascii="Arial" w:eastAsia="Arial" w:hAnsi="Arial" w:cs="Arial"/>
          <w:sz w:val="20"/>
          <w:szCs w:val="20"/>
        </w:rPr>
        <w:t xml:space="preserve"> wird sein Recht, den Nachweis der Endkundenerklärungen vom </w:t>
      </w:r>
      <w:proofErr w:type="spellStart"/>
      <w:r w:rsidR="003D57B5"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F94D05" w:rsidRPr="002D2922">
        <w:rPr>
          <w:rFonts w:ascii="Arial" w:eastAsia="Arial" w:hAnsi="Arial" w:cs="Arial"/>
          <w:sz w:val="20"/>
          <w:szCs w:val="20"/>
        </w:rPr>
        <w:t xml:space="preserve"> zu verlangen, nicht unbillig gebrauchen, so dass der Zweck dieser Vereinbarung vereitelt wird, </w:t>
      </w:r>
      <w:r w:rsidR="00611CF7">
        <w:rPr>
          <w:rFonts w:ascii="Arial" w:eastAsia="Arial" w:hAnsi="Arial" w:cs="Arial"/>
          <w:sz w:val="20"/>
          <w:szCs w:val="20"/>
        </w:rPr>
        <w:t>den vom Endkunden gewünschten Abbruch</w:t>
      </w:r>
      <w:r w:rsidR="00F94D05" w:rsidRPr="002D2922">
        <w:rPr>
          <w:rFonts w:ascii="Arial" w:eastAsia="Arial" w:hAnsi="Arial" w:cs="Arial"/>
          <w:sz w:val="20"/>
          <w:szCs w:val="20"/>
        </w:rPr>
        <w:t xml:space="preserve"> des koordinierten Anbieterwechsels zu vereinfachen.</w:t>
      </w:r>
    </w:p>
    <w:p w14:paraId="7664820E" w14:textId="77777777" w:rsidR="00F94D05" w:rsidRDefault="006B374C" w:rsidP="00F94D05">
      <w:pPr>
        <w:spacing w:after="60"/>
        <w:ind w:left="567" w:hanging="567"/>
        <w:jc w:val="both"/>
        <w:rPr>
          <w:rFonts w:ascii="Arial" w:eastAsia="Arial" w:hAnsi="Arial" w:cs="Arial"/>
          <w:sz w:val="20"/>
          <w:szCs w:val="20"/>
        </w:rPr>
      </w:pPr>
      <w:r>
        <w:rPr>
          <w:rFonts w:ascii="Arial" w:eastAsia="Arial" w:hAnsi="Arial" w:cs="Arial"/>
          <w:sz w:val="20"/>
          <w:szCs w:val="20"/>
        </w:rPr>
        <w:t>3</w:t>
      </w:r>
      <w:r w:rsidR="00F94D05" w:rsidRPr="002D2922">
        <w:rPr>
          <w:rFonts w:ascii="Arial" w:eastAsia="Arial" w:hAnsi="Arial" w:cs="Arial"/>
          <w:sz w:val="20"/>
          <w:szCs w:val="20"/>
        </w:rPr>
        <w:t>.2</w:t>
      </w:r>
      <w:r w:rsidR="00F94D05" w:rsidRPr="002D2922">
        <w:rPr>
          <w:rFonts w:ascii="Arial" w:eastAsia="Arial" w:hAnsi="Arial" w:cs="Arial"/>
          <w:sz w:val="20"/>
          <w:szCs w:val="20"/>
        </w:rPr>
        <w:tab/>
        <w:t xml:space="preserve">Von einem unbilligen Gebrauch ist insbesondere nicht auszugehen, wenn der </w:t>
      </w:r>
      <w:proofErr w:type="spellStart"/>
      <w:r w:rsidR="003D57B5"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F94D05" w:rsidRPr="002D2922">
        <w:rPr>
          <w:rFonts w:ascii="Arial" w:eastAsia="Arial" w:hAnsi="Arial" w:cs="Arial"/>
          <w:sz w:val="20"/>
          <w:szCs w:val="20"/>
        </w:rPr>
        <w:t xml:space="preserve"> den Nachweis jeweils fordert, weil </w:t>
      </w:r>
      <w:r>
        <w:rPr>
          <w:rFonts w:ascii="Arial" w:eastAsia="Arial" w:hAnsi="Arial" w:cs="Arial"/>
          <w:sz w:val="20"/>
          <w:szCs w:val="20"/>
        </w:rPr>
        <w:t xml:space="preserve">der </w:t>
      </w:r>
      <w:r w:rsidR="00E749AB">
        <w:rPr>
          <w:rFonts w:ascii="Arial" w:eastAsia="Arial" w:hAnsi="Arial" w:cs="Arial"/>
          <w:sz w:val="20"/>
          <w:szCs w:val="20"/>
        </w:rPr>
        <w:t xml:space="preserve">Endkunde </w:t>
      </w:r>
      <w:r>
        <w:rPr>
          <w:rFonts w:ascii="Arial" w:eastAsia="Arial" w:hAnsi="Arial" w:cs="Arial"/>
          <w:sz w:val="20"/>
          <w:szCs w:val="20"/>
        </w:rPr>
        <w:t xml:space="preserve">ihm </w:t>
      </w:r>
      <w:r w:rsidR="00F94D05" w:rsidRPr="002D2922">
        <w:rPr>
          <w:rFonts w:ascii="Arial" w:eastAsia="Arial" w:hAnsi="Arial" w:cs="Arial"/>
          <w:sz w:val="20"/>
          <w:szCs w:val="20"/>
        </w:rPr>
        <w:t xml:space="preserve">gegenüber geltend macht, </w:t>
      </w:r>
      <w:r>
        <w:rPr>
          <w:rFonts w:ascii="Arial" w:eastAsia="Arial" w:hAnsi="Arial" w:cs="Arial"/>
          <w:sz w:val="20"/>
          <w:szCs w:val="20"/>
        </w:rPr>
        <w:t xml:space="preserve">nach wie vor zu </w:t>
      </w:r>
      <w:proofErr w:type="spellStart"/>
      <w:r>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Pr>
          <w:rFonts w:ascii="Arial" w:eastAsia="Arial" w:hAnsi="Arial" w:cs="Arial"/>
          <w:sz w:val="20"/>
          <w:szCs w:val="20"/>
        </w:rPr>
        <w:t xml:space="preserve"> wechseln zu wollen (Endkundenbeschwerde)</w:t>
      </w:r>
      <w:r w:rsidR="00F044C0">
        <w:rPr>
          <w:rFonts w:ascii="Arial" w:eastAsia="Arial" w:hAnsi="Arial" w:cs="Arial"/>
          <w:sz w:val="20"/>
          <w:szCs w:val="20"/>
        </w:rPr>
        <w:t xml:space="preserve"> </w:t>
      </w:r>
      <w:r w:rsidR="00F044C0" w:rsidRPr="002B1F10">
        <w:rPr>
          <w:rFonts w:ascii="Arial" w:eastAsia="Arial" w:hAnsi="Arial" w:cs="Arial"/>
          <w:sz w:val="20"/>
          <w:szCs w:val="20"/>
        </w:rPr>
        <w:t>oder weil</w:t>
      </w:r>
      <w:r w:rsidR="004468BC" w:rsidRPr="002B1F10">
        <w:rPr>
          <w:rFonts w:ascii="Arial" w:eastAsia="Arial" w:hAnsi="Arial" w:cs="Arial"/>
          <w:sz w:val="20"/>
          <w:szCs w:val="20"/>
        </w:rPr>
        <w:t xml:space="preserve"> konkrete</w:t>
      </w:r>
      <w:r w:rsidR="00F044C0" w:rsidRPr="002B1F10">
        <w:rPr>
          <w:rFonts w:ascii="Arial" w:eastAsia="Arial" w:hAnsi="Arial" w:cs="Arial"/>
          <w:sz w:val="20"/>
          <w:szCs w:val="20"/>
        </w:rPr>
        <w:t xml:space="preserve"> Anhaltspunkte dafür </w:t>
      </w:r>
      <w:proofErr w:type="spellStart"/>
      <w:r w:rsidR="00F044C0" w:rsidRPr="002B1F10">
        <w:rPr>
          <w:rFonts w:ascii="Arial" w:eastAsia="Arial" w:hAnsi="Arial" w:cs="Arial"/>
          <w:sz w:val="20"/>
          <w:szCs w:val="20"/>
        </w:rPr>
        <w:t>bestehen,</w:t>
      </w:r>
      <w:r>
        <w:rPr>
          <w:rFonts w:ascii="Arial" w:eastAsia="Arial" w:hAnsi="Arial" w:cs="Arial"/>
          <w:sz w:val="20"/>
          <w:szCs w:val="20"/>
        </w:rPr>
        <w:t>.</w:t>
      </w:r>
      <w:r w:rsidR="004468BC" w:rsidRPr="00983106">
        <w:rPr>
          <w:rFonts w:ascii="Arial" w:hAnsi="Arial" w:cs="Arial"/>
          <w:color w:val="auto"/>
          <w:sz w:val="20"/>
          <w:szCs w:val="20"/>
        </w:rPr>
        <w:t>dass</w:t>
      </w:r>
      <w:proofErr w:type="spellEnd"/>
      <w:r w:rsidR="004468BC" w:rsidRPr="00983106">
        <w:rPr>
          <w:rFonts w:ascii="Arial" w:hAnsi="Arial" w:cs="Arial"/>
          <w:color w:val="auto"/>
          <w:sz w:val="20"/>
          <w:szCs w:val="20"/>
        </w:rPr>
        <w:t xml:space="preserve"> der Endkunde einen Abbruch des koordinierten Anbieterwechsels nicht gewünscht hat oder nicht mehr wünscht oder dass der Endkunde in unzulässiger Weise dazu veranlasst worden ist, zu erklären, dass er keinen Anbieterwechsel mehr wünscht.</w:t>
      </w:r>
      <w:r w:rsidRPr="00983106">
        <w:rPr>
          <w:rFonts w:ascii="Arial" w:eastAsia="Arial" w:hAnsi="Arial" w:cs="Arial"/>
          <w:color w:val="auto"/>
          <w:sz w:val="20"/>
          <w:szCs w:val="20"/>
        </w:rPr>
        <w:t xml:space="preserve"> </w:t>
      </w:r>
      <w:r w:rsidR="00F94D05" w:rsidRPr="00983106">
        <w:rPr>
          <w:rFonts w:ascii="Arial" w:eastAsia="Arial" w:hAnsi="Arial" w:cs="Arial"/>
          <w:color w:val="auto"/>
          <w:sz w:val="20"/>
          <w:szCs w:val="20"/>
        </w:rPr>
        <w:t xml:space="preserve">Der </w:t>
      </w:r>
      <w:proofErr w:type="spellStart"/>
      <w:r w:rsidR="003D57B5" w:rsidRPr="00983106">
        <w:rPr>
          <w:rFonts w:ascii="Arial" w:eastAsia="Arial" w:hAnsi="Arial" w:cs="Arial"/>
          <w:color w:val="auto"/>
          <w:sz w:val="20"/>
          <w:szCs w:val="20"/>
        </w:rPr>
        <w:t>EKP</w:t>
      </w:r>
      <w:r w:rsidR="0091189A" w:rsidRPr="0091189A">
        <w:rPr>
          <w:rFonts w:ascii="Arial" w:eastAsia="Arial" w:hAnsi="Arial" w:cs="Arial"/>
          <w:color w:val="auto"/>
          <w:sz w:val="20"/>
          <w:szCs w:val="20"/>
          <w:vertAlign w:val="subscript"/>
        </w:rPr>
        <w:t>auf</w:t>
      </w:r>
      <w:proofErr w:type="spellEnd"/>
      <w:r w:rsidR="00F94D05" w:rsidRPr="00983106">
        <w:rPr>
          <w:rFonts w:ascii="Arial" w:eastAsia="Arial" w:hAnsi="Arial" w:cs="Arial"/>
          <w:color w:val="auto"/>
          <w:sz w:val="20"/>
          <w:szCs w:val="20"/>
        </w:rPr>
        <w:t xml:space="preserve"> ist nicht verpflichtet</w:t>
      </w:r>
      <w:r w:rsidR="00F044C0" w:rsidRPr="00983106">
        <w:rPr>
          <w:rFonts w:ascii="Arial" w:eastAsia="Arial" w:hAnsi="Arial" w:cs="Arial"/>
          <w:color w:val="auto"/>
          <w:sz w:val="20"/>
          <w:szCs w:val="20"/>
        </w:rPr>
        <w:t>,</w:t>
      </w:r>
      <w:r w:rsidR="00F94D05" w:rsidRPr="00983106">
        <w:rPr>
          <w:rFonts w:ascii="Arial" w:eastAsia="Arial" w:hAnsi="Arial" w:cs="Arial"/>
          <w:color w:val="auto"/>
          <w:sz w:val="20"/>
          <w:szCs w:val="20"/>
        </w:rPr>
        <w:t xml:space="preserve"> zu prüfen, ob die Endkundenbeschwerde berechtigt</w:t>
      </w:r>
      <w:r w:rsidR="00F94D05" w:rsidRPr="002D2922">
        <w:rPr>
          <w:rFonts w:ascii="Arial" w:eastAsia="Arial" w:hAnsi="Arial" w:cs="Arial"/>
          <w:sz w:val="20"/>
          <w:szCs w:val="20"/>
        </w:rPr>
        <w:t xml:space="preserve"> ist.</w:t>
      </w:r>
    </w:p>
    <w:p w14:paraId="7664820F" w14:textId="77777777" w:rsidR="00E749AB" w:rsidRDefault="00E749AB" w:rsidP="00C55E3D">
      <w:pPr>
        <w:spacing w:after="60"/>
        <w:ind w:left="567" w:hanging="567"/>
        <w:jc w:val="both"/>
        <w:rPr>
          <w:rFonts w:ascii="Arial" w:eastAsia="Arial" w:hAnsi="Arial" w:cs="Arial"/>
          <w:sz w:val="20"/>
          <w:szCs w:val="20"/>
        </w:rPr>
      </w:pPr>
      <w:r>
        <w:rPr>
          <w:rFonts w:ascii="Arial" w:eastAsia="Arial" w:hAnsi="Arial" w:cs="Arial"/>
          <w:sz w:val="20"/>
          <w:szCs w:val="20"/>
        </w:rPr>
        <w:t>3.3</w:t>
      </w:r>
      <w:r>
        <w:rPr>
          <w:rFonts w:ascii="Arial" w:eastAsia="Arial" w:hAnsi="Arial" w:cs="Arial"/>
          <w:sz w:val="20"/>
          <w:szCs w:val="20"/>
        </w:rPr>
        <w:tab/>
        <w:t xml:space="preserve">Mit der Übermittlung einer auf eine NWE-Ablehnung folgenden erneuten auf den Anbieterwechsel gerichteten Vorabstimmungsanfrage sichert der </w:t>
      </w:r>
      <w:proofErr w:type="spellStart"/>
      <w:r>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Pr>
          <w:rFonts w:ascii="Arial" w:eastAsia="Arial" w:hAnsi="Arial" w:cs="Arial"/>
          <w:sz w:val="20"/>
          <w:szCs w:val="20"/>
        </w:rPr>
        <w:t xml:space="preserve"> dem </w:t>
      </w:r>
      <w:proofErr w:type="spellStart"/>
      <w:r>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Pr>
          <w:rFonts w:ascii="Arial" w:eastAsia="Arial" w:hAnsi="Arial" w:cs="Arial"/>
          <w:sz w:val="20"/>
          <w:szCs w:val="20"/>
        </w:rPr>
        <w:t xml:space="preserve"> zu, dass dem </w:t>
      </w:r>
      <w:proofErr w:type="spellStart"/>
      <w:r>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Pr>
          <w:rFonts w:ascii="Arial" w:eastAsia="Arial" w:hAnsi="Arial" w:cs="Arial"/>
          <w:sz w:val="20"/>
          <w:szCs w:val="20"/>
        </w:rPr>
        <w:t xml:space="preserve"> eine im Vergleich zur NWE-Ablehnung zeitlich jüngere Endkundenerklärung vorliegt, nach der der Endkunde seinen Willen geändert hat und nun doch wieder zum </w:t>
      </w:r>
      <w:proofErr w:type="spellStart"/>
      <w:r>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Pr>
          <w:rFonts w:ascii="Arial" w:eastAsia="Arial" w:hAnsi="Arial" w:cs="Arial"/>
          <w:sz w:val="20"/>
          <w:szCs w:val="20"/>
        </w:rPr>
        <w:t xml:space="preserve"> wechseln möchte. Es gelten die Bestimmungen der Ziffern 2.2 bis 2.7 analog.</w:t>
      </w:r>
    </w:p>
    <w:p w14:paraId="76648210" w14:textId="77777777" w:rsidR="00E41187" w:rsidRDefault="00E41187" w:rsidP="00C55E3D">
      <w:pPr>
        <w:spacing w:after="60"/>
        <w:ind w:left="567" w:hanging="567"/>
        <w:jc w:val="both"/>
        <w:rPr>
          <w:rFonts w:ascii="Arial" w:eastAsia="Arial" w:hAnsi="Arial" w:cs="Arial"/>
          <w:sz w:val="20"/>
          <w:szCs w:val="20"/>
        </w:rPr>
      </w:pPr>
      <w:r>
        <w:rPr>
          <w:rFonts w:ascii="Arial" w:eastAsia="Arial" w:hAnsi="Arial" w:cs="Arial"/>
          <w:sz w:val="20"/>
          <w:szCs w:val="20"/>
        </w:rPr>
        <w:tab/>
      </w:r>
      <w:r w:rsidR="00A62794">
        <w:rPr>
          <w:rFonts w:ascii="Arial" w:eastAsia="Arial" w:hAnsi="Arial" w:cs="Arial"/>
          <w:sz w:val="20"/>
          <w:szCs w:val="20"/>
        </w:rPr>
        <w:t xml:space="preserve">Bei Vorliegen der </w:t>
      </w:r>
      <w:r>
        <w:rPr>
          <w:rFonts w:ascii="Arial" w:eastAsia="Arial" w:hAnsi="Arial" w:cs="Arial"/>
          <w:sz w:val="20"/>
          <w:szCs w:val="20"/>
        </w:rPr>
        <w:t>Voraussetzung</w:t>
      </w:r>
      <w:r w:rsidR="00A62794">
        <w:rPr>
          <w:rFonts w:ascii="Arial" w:eastAsia="Arial" w:hAnsi="Arial" w:cs="Arial"/>
          <w:sz w:val="20"/>
          <w:szCs w:val="20"/>
        </w:rPr>
        <w:t>en</w:t>
      </w:r>
      <w:r>
        <w:rPr>
          <w:rFonts w:ascii="Arial" w:eastAsia="Arial" w:hAnsi="Arial" w:cs="Arial"/>
          <w:sz w:val="20"/>
          <w:szCs w:val="20"/>
        </w:rPr>
        <w:t xml:space="preserve"> der Ziffer 4.1 kann der </w:t>
      </w:r>
      <w:proofErr w:type="spellStart"/>
      <w:r>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Pr>
          <w:rFonts w:ascii="Arial" w:eastAsia="Arial" w:hAnsi="Arial" w:cs="Arial"/>
          <w:sz w:val="20"/>
          <w:szCs w:val="20"/>
        </w:rPr>
        <w:t xml:space="preserve"> eine neue Vorabstimmungsanfrage auf Grund der ursprünglichen Willenserklärung des Endkunden stellen.</w:t>
      </w:r>
    </w:p>
    <w:p w14:paraId="76648211" w14:textId="77777777" w:rsidR="00E41187" w:rsidRDefault="00E41187" w:rsidP="00C55E3D">
      <w:pPr>
        <w:spacing w:after="60"/>
        <w:ind w:left="567" w:hanging="567"/>
        <w:jc w:val="both"/>
        <w:rPr>
          <w:rFonts w:ascii="Arial" w:eastAsia="Arial" w:hAnsi="Arial" w:cs="Arial"/>
          <w:sz w:val="20"/>
          <w:szCs w:val="20"/>
        </w:rPr>
      </w:pPr>
    </w:p>
    <w:p w14:paraId="76648212" w14:textId="77777777" w:rsidR="002203E6" w:rsidRDefault="00C55E3D" w:rsidP="002203E6">
      <w:pPr>
        <w:spacing w:after="60"/>
        <w:ind w:left="567" w:hanging="567"/>
        <w:jc w:val="both"/>
        <w:rPr>
          <w:rFonts w:ascii="Arial" w:eastAsia="Arial" w:hAnsi="Arial" w:cs="Arial"/>
          <w:sz w:val="20"/>
          <w:szCs w:val="20"/>
        </w:rPr>
      </w:pPr>
      <w:r>
        <w:rPr>
          <w:rFonts w:ascii="Arial" w:eastAsia="Arial" w:hAnsi="Arial" w:cs="Arial"/>
          <w:sz w:val="20"/>
          <w:szCs w:val="20"/>
        </w:rPr>
        <w:t>3.4</w:t>
      </w:r>
      <w:r>
        <w:rPr>
          <w:rFonts w:ascii="Arial" w:eastAsia="Arial" w:hAnsi="Arial" w:cs="Arial"/>
          <w:sz w:val="20"/>
          <w:szCs w:val="20"/>
        </w:rPr>
        <w:tab/>
      </w:r>
      <w:r w:rsidRPr="00386346">
        <w:rPr>
          <w:rFonts w:ascii="Arial" w:eastAsia="Arial" w:hAnsi="Arial" w:cs="Arial"/>
          <w:sz w:val="20"/>
          <w:szCs w:val="20"/>
        </w:rPr>
        <w:t xml:space="preserve">Der </w:t>
      </w:r>
      <w:proofErr w:type="spellStart"/>
      <w:r w:rsidRPr="00386346">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Pr="00386346">
        <w:rPr>
          <w:rFonts w:ascii="Arial" w:eastAsia="Arial" w:hAnsi="Arial" w:cs="Arial"/>
          <w:sz w:val="20"/>
          <w:szCs w:val="20"/>
        </w:rPr>
        <w:t xml:space="preserve"> setzt zur Analyse der vom </w:t>
      </w:r>
      <w:proofErr w:type="spellStart"/>
      <w:r w:rsidRPr="00386346">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Pr="00386346">
        <w:rPr>
          <w:rFonts w:ascii="Arial" w:eastAsia="Arial" w:hAnsi="Arial" w:cs="Arial"/>
          <w:sz w:val="20"/>
          <w:szCs w:val="20"/>
        </w:rPr>
        <w:t xml:space="preserve"> übermittelten Nachweise gemäß Ziff. 2.4 nur Mitarbeiter ein, die auf Einhaltung des Daten</w:t>
      </w:r>
      <w:r w:rsidR="00386346" w:rsidRPr="00386346">
        <w:rPr>
          <w:rFonts w:ascii="Arial" w:eastAsia="Arial" w:hAnsi="Arial" w:cs="Arial"/>
          <w:sz w:val="20"/>
          <w:szCs w:val="20"/>
        </w:rPr>
        <w:t>- und Fernmeldegeheimnisses</w:t>
      </w:r>
      <w:r w:rsidRPr="00386346">
        <w:rPr>
          <w:rFonts w:ascii="Arial" w:eastAsia="Arial" w:hAnsi="Arial" w:cs="Arial"/>
          <w:sz w:val="20"/>
          <w:szCs w:val="20"/>
        </w:rPr>
        <w:t xml:space="preserve"> verpflichtet</w:t>
      </w:r>
      <w:r w:rsidRPr="00F12578">
        <w:rPr>
          <w:rFonts w:ascii="Arial" w:eastAsia="Arial" w:hAnsi="Arial" w:cs="Arial"/>
          <w:sz w:val="20"/>
          <w:szCs w:val="20"/>
        </w:rPr>
        <w:t xml:space="preserve"> wurden</w:t>
      </w:r>
      <w:r w:rsidRPr="00386346">
        <w:rPr>
          <w:rFonts w:ascii="Arial" w:eastAsia="Arial" w:hAnsi="Arial" w:cs="Arial"/>
          <w:sz w:val="20"/>
          <w:szCs w:val="20"/>
        </w:rPr>
        <w:t>.</w:t>
      </w:r>
      <w:r w:rsidR="002203E6">
        <w:rPr>
          <w:rFonts w:ascii="Arial" w:eastAsia="Arial" w:hAnsi="Arial" w:cs="Arial"/>
          <w:sz w:val="20"/>
          <w:szCs w:val="20"/>
        </w:rPr>
        <w:t xml:space="preserve"> Der </w:t>
      </w:r>
      <w:proofErr w:type="spellStart"/>
      <w:r w:rsidR="002203E6">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2203E6">
        <w:rPr>
          <w:rFonts w:ascii="Arial" w:eastAsia="Arial" w:hAnsi="Arial" w:cs="Arial"/>
          <w:sz w:val="20"/>
          <w:szCs w:val="20"/>
        </w:rPr>
        <w:t xml:space="preserve"> stellt außerdem sicher, dass die übermittelten Nachweise nach Zweckerfüllung unverzüglich vernichtet und keine Kopien davon erstellt werden.</w:t>
      </w:r>
    </w:p>
    <w:p w14:paraId="76648213" w14:textId="77777777" w:rsidR="002203E6" w:rsidRPr="002D2922" w:rsidRDefault="002203E6" w:rsidP="00F94D05">
      <w:pPr>
        <w:spacing w:after="60"/>
        <w:ind w:left="567" w:hanging="567"/>
        <w:jc w:val="both"/>
        <w:rPr>
          <w:rFonts w:ascii="Arial" w:eastAsia="Arial" w:hAnsi="Arial" w:cs="Arial"/>
          <w:sz w:val="20"/>
          <w:szCs w:val="20"/>
        </w:rPr>
      </w:pPr>
    </w:p>
    <w:p w14:paraId="76648214" w14:textId="77777777" w:rsidR="00F94D05" w:rsidRPr="002D2922" w:rsidRDefault="00302225" w:rsidP="00F94D05">
      <w:pPr>
        <w:pStyle w:val="berschrift1"/>
        <w:ind w:left="0" w:firstLine="0"/>
        <w:rPr>
          <w:sz w:val="20"/>
          <w:szCs w:val="20"/>
        </w:rPr>
      </w:pPr>
      <w:r>
        <w:rPr>
          <w:sz w:val="20"/>
          <w:szCs w:val="20"/>
        </w:rPr>
        <w:t>4</w:t>
      </w:r>
      <w:r w:rsidR="00F94D05" w:rsidRPr="002D2922">
        <w:rPr>
          <w:sz w:val="20"/>
          <w:szCs w:val="20"/>
        </w:rPr>
        <w:t>.</w:t>
      </w:r>
      <w:r w:rsidR="00F94D05" w:rsidRPr="002D2922">
        <w:rPr>
          <w:sz w:val="20"/>
          <w:szCs w:val="20"/>
        </w:rPr>
        <w:tab/>
      </w:r>
      <w:r w:rsidR="00F94D05" w:rsidRPr="00404884">
        <w:rPr>
          <w:color w:val="auto"/>
          <w:sz w:val="20"/>
          <w:szCs w:val="20"/>
        </w:rPr>
        <w:t>Scheit</w:t>
      </w:r>
      <w:r w:rsidR="00404884" w:rsidRPr="00404884">
        <w:rPr>
          <w:color w:val="auto"/>
          <w:sz w:val="20"/>
          <w:szCs w:val="20"/>
        </w:rPr>
        <w:t>e</w:t>
      </w:r>
      <w:r w:rsidR="00F94D05" w:rsidRPr="00404884">
        <w:rPr>
          <w:color w:val="auto"/>
          <w:sz w:val="20"/>
          <w:szCs w:val="20"/>
        </w:rPr>
        <w:t>rn</w:t>
      </w:r>
      <w:r w:rsidR="00F94D05" w:rsidRPr="002D2922">
        <w:rPr>
          <w:sz w:val="20"/>
          <w:szCs w:val="20"/>
        </w:rPr>
        <w:t xml:space="preserve"> des fristgere</w:t>
      </w:r>
      <w:r w:rsidR="00F94D05" w:rsidRPr="00386346">
        <w:rPr>
          <w:sz w:val="20"/>
          <w:szCs w:val="20"/>
        </w:rPr>
        <w:t>c</w:t>
      </w:r>
      <w:r w:rsidR="00F94D05" w:rsidRPr="002D2922">
        <w:rPr>
          <w:sz w:val="20"/>
          <w:szCs w:val="20"/>
        </w:rPr>
        <w:t>hten Nachweises über die Endkundenerklärungen</w:t>
      </w:r>
    </w:p>
    <w:p w14:paraId="76648215" w14:textId="77777777" w:rsidR="00F94D05" w:rsidRPr="002D2922" w:rsidRDefault="00767C6B" w:rsidP="00F94D05">
      <w:pPr>
        <w:spacing w:after="60"/>
        <w:ind w:left="567" w:hanging="567"/>
        <w:jc w:val="both"/>
        <w:rPr>
          <w:rFonts w:ascii="Arial" w:eastAsia="Arial" w:hAnsi="Arial" w:cs="Arial"/>
          <w:sz w:val="20"/>
          <w:szCs w:val="20"/>
        </w:rPr>
      </w:pPr>
      <w:r>
        <w:rPr>
          <w:rFonts w:ascii="Arial" w:eastAsia="Arial" w:hAnsi="Arial" w:cs="Arial"/>
          <w:sz w:val="20"/>
          <w:szCs w:val="20"/>
        </w:rPr>
        <w:t>4</w:t>
      </w:r>
      <w:r w:rsidR="00F94D05" w:rsidRPr="002D2922">
        <w:rPr>
          <w:rFonts w:ascii="Arial" w:eastAsia="Arial" w:hAnsi="Arial" w:cs="Arial"/>
          <w:sz w:val="20"/>
          <w:szCs w:val="20"/>
        </w:rPr>
        <w:t>.1</w:t>
      </w:r>
      <w:r w:rsidR="00F94D05" w:rsidRPr="002D2922">
        <w:rPr>
          <w:rFonts w:ascii="Arial" w:eastAsia="Arial" w:hAnsi="Arial" w:cs="Arial"/>
          <w:sz w:val="20"/>
          <w:szCs w:val="20"/>
        </w:rPr>
        <w:tab/>
        <w:t xml:space="preserve">Weist der </w:t>
      </w:r>
      <w:proofErr w:type="spellStart"/>
      <w:r w:rsidR="00354685"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F94D05" w:rsidRPr="002D2922">
        <w:rPr>
          <w:rFonts w:ascii="Arial" w:eastAsia="Arial" w:hAnsi="Arial" w:cs="Arial"/>
          <w:sz w:val="20"/>
          <w:szCs w:val="20"/>
        </w:rPr>
        <w:t xml:space="preserve"> die Erklärung des Endkunden</w:t>
      </w:r>
      <w:r w:rsidR="005071AF">
        <w:rPr>
          <w:rFonts w:ascii="Arial" w:eastAsia="Arial" w:hAnsi="Arial" w:cs="Arial"/>
          <w:sz w:val="20"/>
          <w:szCs w:val="20"/>
        </w:rPr>
        <w:t xml:space="preserve">, </w:t>
      </w:r>
      <w:r w:rsidR="005071AF" w:rsidRPr="00F12578">
        <w:rPr>
          <w:rFonts w:ascii="Arial" w:eastAsia="Arial" w:hAnsi="Arial" w:cs="Arial"/>
          <w:sz w:val="20"/>
          <w:szCs w:val="20"/>
        </w:rPr>
        <w:t>keinen Anbieterwechsel mehr</w:t>
      </w:r>
      <w:r w:rsidR="005071AF" w:rsidRPr="00E749AB">
        <w:rPr>
          <w:rFonts w:ascii="Arial" w:eastAsia="Arial" w:hAnsi="Arial" w:cs="Arial"/>
          <w:sz w:val="20"/>
          <w:szCs w:val="20"/>
        </w:rPr>
        <w:t xml:space="preserve"> zu wünschen</w:t>
      </w:r>
      <w:r w:rsidR="00302225">
        <w:rPr>
          <w:rFonts w:ascii="Arial" w:eastAsia="Arial" w:hAnsi="Arial" w:cs="Arial"/>
          <w:sz w:val="20"/>
          <w:szCs w:val="20"/>
        </w:rPr>
        <w:t xml:space="preserve"> </w:t>
      </w:r>
      <w:r w:rsidR="00F94D05" w:rsidRPr="002D2922">
        <w:rPr>
          <w:rFonts w:ascii="Arial" w:eastAsia="Arial" w:hAnsi="Arial" w:cs="Arial"/>
          <w:sz w:val="20"/>
          <w:szCs w:val="20"/>
        </w:rPr>
        <w:t xml:space="preserve"> gegenüber dem </w:t>
      </w:r>
      <w:proofErr w:type="spellStart"/>
      <w:r w:rsidR="00354685"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F94D05" w:rsidRPr="002D2922">
        <w:rPr>
          <w:rFonts w:ascii="Arial" w:eastAsia="Arial" w:hAnsi="Arial" w:cs="Arial"/>
          <w:sz w:val="20"/>
          <w:szCs w:val="20"/>
        </w:rPr>
        <w:t xml:space="preserve"> nicht oder nicht fristgerecht nach, gehen die </w:t>
      </w:r>
      <w:r w:rsidR="00E64AC8">
        <w:rPr>
          <w:rFonts w:ascii="Arial" w:eastAsia="Arial" w:hAnsi="Arial" w:cs="Arial"/>
          <w:sz w:val="20"/>
          <w:szCs w:val="20"/>
        </w:rPr>
        <w:t>Vertragsparteien</w:t>
      </w:r>
      <w:r w:rsidR="00F94D05" w:rsidRPr="002D2922">
        <w:rPr>
          <w:rFonts w:ascii="Arial" w:eastAsia="Arial" w:hAnsi="Arial" w:cs="Arial"/>
          <w:sz w:val="20"/>
          <w:szCs w:val="20"/>
        </w:rPr>
        <w:t xml:space="preserve"> davon aus, dass diese Erklärung nicht vorlieg</w:t>
      </w:r>
      <w:r w:rsidR="00D57E6E">
        <w:rPr>
          <w:rFonts w:ascii="Arial" w:eastAsia="Arial" w:hAnsi="Arial" w:cs="Arial"/>
          <w:sz w:val="20"/>
          <w:szCs w:val="20"/>
        </w:rPr>
        <w:t>t</w:t>
      </w:r>
      <w:r w:rsidR="00F94D05" w:rsidRPr="002D2922">
        <w:rPr>
          <w:rFonts w:ascii="Arial" w:eastAsia="Arial" w:hAnsi="Arial" w:cs="Arial"/>
          <w:sz w:val="20"/>
          <w:szCs w:val="20"/>
        </w:rPr>
        <w:t xml:space="preserve">. </w:t>
      </w:r>
      <w:r w:rsidR="00C8110E">
        <w:rPr>
          <w:rFonts w:ascii="Arial" w:eastAsia="Arial" w:hAnsi="Arial" w:cs="Arial"/>
          <w:sz w:val="20"/>
          <w:szCs w:val="20"/>
        </w:rPr>
        <w:t xml:space="preserve">Entsprechende Vermutung gilt, soweit der </w:t>
      </w:r>
      <w:proofErr w:type="spellStart"/>
      <w:r w:rsidR="00C8110E">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C8110E">
        <w:rPr>
          <w:rFonts w:ascii="Arial" w:eastAsia="Arial" w:hAnsi="Arial" w:cs="Arial"/>
          <w:sz w:val="20"/>
          <w:szCs w:val="20"/>
        </w:rPr>
        <w:t xml:space="preserve"> im Fall der Ziff. 3.3 keine im Vergleich zur NWE-Ablehnung zeitlich jüngere Endkundenerklärung nachweist, nach der der Endkunde seinen Willen geändert hat und nun doch wieder zum </w:t>
      </w:r>
      <w:proofErr w:type="spellStart"/>
      <w:r w:rsidR="00C8110E">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C8110E">
        <w:rPr>
          <w:rFonts w:ascii="Arial" w:eastAsia="Arial" w:hAnsi="Arial" w:cs="Arial"/>
          <w:sz w:val="20"/>
          <w:szCs w:val="20"/>
        </w:rPr>
        <w:t xml:space="preserve"> wechseln möchte.</w:t>
      </w:r>
    </w:p>
    <w:p w14:paraId="76648216" w14:textId="77777777" w:rsidR="00F94D05" w:rsidRPr="002D2922" w:rsidRDefault="00767C6B" w:rsidP="00F94D05">
      <w:pPr>
        <w:spacing w:after="60"/>
        <w:ind w:left="567" w:hanging="567"/>
        <w:jc w:val="both"/>
        <w:rPr>
          <w:rFonts w:ascii="Arial" w:eastAsia="Arial" w:hAnsi="Arial" w:cs="Arial"/>
          <w:sz w:val="20"/>
          <w:szCs w:val="20"/>
        </w:rPr>
      </w:pPr>
      <w:r>
        <w:rPr>
          <w:rFonts w:ascii="Arial" w:eastAsia="Arial" w:hAnsi="Arial" w:cs="Arial"/>
          <w:sz w:val="20"/>
          <w:szCs w:val="20"/>
        </w:rPr>
        <w:t>4</w:t>
      </w:r>
      <w:r w:rsidR="00F94D05" w:rsidRPr="002D2922">
        <w:rPr>
          <w:rFonts w:ascii="Arial" w:eastAsia="Arial" w:hAnsi="Arial" w:cs="Arial"/>
          <w:sz w:val="20"/>
          <w:szCs w:val="20"/>
        </w:rPr>
        <w:t>.2</w:t>
      </w:r>
      <w:r w:rsidR="00F94D05" w:rsidRPr="002D2922">
        <w:rPr>
          <w:rFonts w:ascii="Arial" w:eastAsia="Arial" w:hAnsi="Arial" w:cs="Arial"/>
          <w:sz w:val="20"/>
          <w:szCs w:val="20"/>
        </w:rPr>
        <w:tab/>
      </w:r>
      <w:r w:rsidR="00C8110E" w:rsidRPr="00866F27">
        <w:rPr>
          <w:rFonts w:ascii="Arial" w:eastAsia="Arial" w:hAnsi="Arial" w:cs="Arial"/>
          <w:sz w:val="20"/>
          <w:szCs w:val="20"/>
        </w:rPr>
        <w:t>Im Falle der Ziffer 4.1 und vorbehaltlich der Einhaltung der Voraussetzungen der Ziff. 3.3 kann d</w:t>
      </w:r>
      <w:r w:rsidR="00F94D05" w:rsidRPr="00866F27">
        <w:rPr>
          <w:rFonts w:ascii="Arial" w:eastAsia="Arial" w:hAnsi="Arial" w:cs="Arial"/>
          <w:sz w:val="20"/>
          <w:szCs w:val="20"/>
        </w:rPr>
        <w:t xml:space="preserve">er </w:t>
      </w:r>
      <w:proofErr w:type="spellStart"/>
      <w:r w:rsidR="00354685" w:rsidRPr="00866F27">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Pr="00866F27">
        <w:rPr>
          <w:rFonts w:ascii="Arial" w:eastAsia="Arial" w:hAnsi="Arial" w:cs="Arial"/>
          <w:sz w:val="20"/>
          <w:szCs w:val="20"/>
        </w:rPr>
        <w:t xml:space="preserve"> eine neue Vorabstimmungsanfrage stellen, die </w:t>
      </w:r>
      <w:proofErr w:type="spellStart"/>
      <w:r w:rsidRPr="00866F27">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Pr="00866F27">
        <w:rPr>
          <w:rFonts w:ascii="Arial" w:eastAsia="Arial" w:hAnsi="Arial" w:cs="Arial"/>
          <w:sz w:val="20"/>
          <w:szCs w:val="20"/>
        </w:rPr>
        <w:t xml:space="preserve"> dann nicht mehr mit dem Grund NWE ablehnen wird</w:t>
      </w:r>
      <w:r w:rsidR="001F0D66" w:rsidRPr="00866F27">
        <w:rPr>
          <w:rFonts w:ascii="Arial" w:eastAsia="Arial" w:hAnsi="Arial" w:cs="Arial"/>
          <w:sz w:val="20"/>
          <w:szCs w:val="20"/>
        </w:rPr>
        <w:t xml:space="preserve">, es sei denn </w:t>
      </w:r>
      <w:proofErr w:type="spellStart"/>
      <w:r w:rsidR="001F0D66" w:rsidRPr="00866F27">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1F0D66" w:rsidRPr="00866F27">
        <w:rPr>
          <w:rFonts w:ascii="Arial" w:eastAsia="Arial" w:hAnsi="Arial" w:cs="Arial"/>
          <w:sz w:val="20"/>
          <w:szCs w:val="20"/>
        </w:rPr>
        <w:t xml:space="preserve"> liegt zu diesem Zeitpunkt die in </w:t>
      </w:r>
      <w:r w:rsidR="001F7DF0" w:rsidRPr="00866F27">
        <w:rPr>
          <w:rFonts w:ascii="Arial" w:eastAsia="Arial" w:hAnsi="Arial" w:cs="Arial"/>
          <w:sz w:val="20"/>
          <w:szCs w:val="20"/>
        </w:rPr>
        <w:t xml:space="preserve">Ziffer </w:t>
      </w:r>
      <w:r w:rsidR="001F0D66" w:rsidRPr="00866F27">
        <w:rPr>
          <w:rFonts w:ascii="Arial" w:eastAsia="Arial" w:hAnsi="Arial" w:cs="Arial"/>
          <w:sz w:val="20"/>
          <w:szCs w:val="20"/>
        </w:rPr>
        <w:t>2.</w:t>
      </w:r>
      <w:r w:rsidR="005071AF" w:rsidRPr="00866F27">
        <w:rPr>
          <w:rFonts w:ascii="Arial" w:eastAsia="Arial" w:hAnsi="Arial" w:cs="Arial"/>
          <w:sz w:val="20"/>
          <w:szCs w:val="20"/>
        </w:rPr>
        <w:t>1</w:t>
      </w:r>
      <w:r w:rsidR="001F0D66" w:rsidRPr="00866F27">
        <w:rPr>
          <w:rFonts w:ascii="Arial" w:eastAsia="Arial" w:hAnsi="Arial" w:cs="Arial"/>
          <w:sz w:val="20"/>
          <w:szCs w:val="20"/>
        </w:rPr>
        <w:t xml:space="preserve"> beschriebene Endkundenerklärung vor</w:t>
      </w:r>
      <w:r w:rsidR="004B5643" w:rsidRPr="00866F27">
        <w:rPr>
          <w:rFonts w:ascii="Arial" w:eastAsia="Arial" w:hAnsi="Arial" w:cs="Arial"/>
          <w:sz w:val="20"/>
          <w:szCs w:val="20"/>
        </w:rPr>
        <w:t>.</w:t>
      </w:r>
      <w:r w:rsidR="001F0D66" w:rsidRPr="00866F27">
        <w:rPr>
          <w:rFonts w:ascii="Arial" w:eastAsia="Arial" w:hAnsi="Arial" w:cs="Arial"/>
          <w:sz w:val="20"/>
          <w:szCs w:val="20"/>
        </w:rPr>
        <w:t xml:space="preserve"> </w:t>
      </w:r>
      <w:r w:rsidR="004B5643" w:rsidRPr="00866F27">
        <w:rPr>
          <w:rFonts w:ascii="Arial" w:eastAsia="Arial" w:hAnsi="Arial" w:cs="Arial"/>
          <w:sz w:val="20"/>
          <w:szCs w:val="20"/>
        </w:rPr>
        <w:t xml:space="preserve">Erbringt </w:t>
      </w:r>
      <w:proofErr w:type="spellStart"/>
      <w:r w:rsidR="004B5643" w:rsidRPr="00866F27">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4B5643" w:rsidRPr="00866F27">
        <w:rPr>
          <w:rFonts w:ascii="Arial" w:eastAsia="Arial" w:hAnsi="Arial" w:cs="Arial"/>
          <w:sz w:val="20"/>
          <w:szCs w:val="20"/>
        </w:rPr>
        <w:t xml:space="preserve"> auch in diesem Fall den Nachweis entsprechend den Regelungen der Zi</w:t>
      </w:r>
      <w:r w:rsidR="001F7DF0" w:rsidRPr="00866F27">
        <w:rPr>
          <w:rFonts w:ascii="Arial" w:eastAsia="Arial" w:hAnsi="Arial" w:cs="Arial"/>
          <w:sz w:val="20"/>
          <w:szCs w:val="20"/>
        </w:rPr>
        <w:t>ffer</w:t>
      </w:r>
      <w:r w:rsidR="004B5643" w:rsidRPr="00866F27">
        <w:rPr>
          <w:rFonts w:ascii="Arial" w:eastAsia="Arial" w:hAnsi="Arial" w:cs="Arial"/>
          <w:sz w:val="20"/>
          <w:szCs w:val="20"/>
        </w:rPr>
        <w:t xml:space="preserve"> 2.2 ff</w:t>
      </w:r>
      <w:r w:rsidR="005071AF" w:rsidRPr="00866F27">
        <w:rPr>
          <w:rFonts w:ascii="Arial" w:eastAsia="Arial" w:hAnsi="Arial" w:cs="Arial"/>
          <w:sz w:val="20"/>
          <w:szCs w:val="20"/>
        </w:rPr>
        <w:t>.</w:t>
      </w:r>
      <w:r w:rsidR="004B5643" w:rsidRPr="00866F27">
        <w:rPr>
          <w:rFonts w:ascii="Arial" w:eastAsia="Arial" w:hAnsi="Arial" w:cs="Arial"/>
          <w:sz w:val="20"/>
          <w:szCs w:val="20"/>
        </w:rPr>
        <w:t xml:space="preserve"> nicht</w:t>
      </w:r>
      <w:r w:rsidR="001F7DF0" w:rsidRPr="00866F27">
        <w:rPr>
          <w:rFonts w:ascii="Arial" w:eastAsia="Arial" w:hAnsi="Arial" w:cs="Arial"/>
          <w:sz w:val="20"/>
          <w:szCs w:val="20"/>
        </w:rPr>
        <w:t>,</w:t>
      </w:r>
      <w:r w:rsidR="004B5643" w:rsidRPr="00866F27">
        <w:rPr>
          <w:rFonts w:ascii="Arial" w:eastAsia="Arial" w:hAnsi="Arial" w:cs="Arial"/>
          <w:sz w:val="20"/>
          <w:szCs w:val="20"/>
        </w:rPr>
        <w:t xml:space="preserve"> </w:t>
      </w:r>
      <w:r w:rsidR="001F0D66" w:rsidRPr="00866F27">
        <w:rPr>
          <w:rFonts w:ascii="Arial" w:eastAsia="Arial" w:hAnsi="Arial" w:cs="Arial"/>
          <w:sz w:val="20"/>
          <w:szCs w:val="20"/>
        </w:rPr>
        <w:t xml:space="preserve">gilt </w:t>
      </w:r>
      <w:r w:rsidR="004B5643" w:rsidRPr="00866F27">
        <w:rPr>
          <w:rFonts w:ascii="Arial" w:eastAsia="Arial" w:hAnsi="Arial" w:cs="Arial"/>
          <w:sz w:val="20"/>
          <w:szCs w:val="20"/>
        </w:rPr>
        <w:t xml:space="preserve">Ziffer 5 </w:t>
      </w:r>
      <w:r w:rsidR="001F0D66" w:rsidRPr="00866F27">
        <w:rPr>
          <w:rFonts w:ascii="Arial" w:eastAsia="Arial" w:hAnsi="Arial" w:cs="Arial"/>
          <w:sz w:val="20"/>
          <w:szCs w:val="20"/>
        </w:rPr>
        <w:t>entsprechend</w:t>
      </w:r>
      <w:r w:rsidR="003A6928" w:rsidRPr="00866F27">
        <w:rPr>
          <w:rFonts w:ascii="Arial" w:eastAsia="Arial" w:hAnsi="Arial" w:cs="Arial"/>
          <w:sz w:val="20"/>
          <w:szCs w:val="20"/>
        </w:rPr>
        <w:t>.</w:t>
      </w:r>
      <w:r>
        <w:rPr>
          <w:rFonts w:ascii="Arial" w:eastAsia="Arial" w:hAnsi="Arial" w:cs="Arial"/>
          <w:sz w:val="20"/>
          <w:szCs w:val="20"/>
        </w:rPr>
        <w:t xml:space="preserve"> </w:t>
      </w:r>
      <w:r w:rsidRPr="00767C6B">
        <w:rPr>
          <w:rFonts w:ascii="Arial" w:eastAsia="Arial" w:hAnsi="Arial" w:cs="Arial"/>
          <w:b/>
          <w:color w:val="FF0000"/>
          <w:sz w:val="20"/>
          <w:szCs w:val="20"/>
          <w:u w:val="single"/>
        </w:rPr>
        <w:t xml:space="preserve"> </w:t>
      </w:r>
      <w:r w:rsidR="00F94D05" w:rsidRPr="00767C6B">
        <w:rPr>
          <w:rFonts w:ascii="Arial" w:eastAsia="Arial" w:hAnsi="Arial" w:cs="Arial"/>
          <w:b/>
          <w:color w:val="FF0000"/>
          <w:sz w:val="20"/>
          <w:szCs w:val="20"/>
          <w:u w:val="single"/>
        </w:rPr>
        <w:t xml:space="preserve"> </w:t>
      </w:r>
      <w:proofErr w:type="spellStart"/>
      <w:r w:rsidR="00354685"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F94D05" w:rsidRPr="002D2922">
        <w:rPr>
          <w:rFonts w:ascii="Arial" w:eastAsia="Arial" w:hAnsi="Arial" w:cs="Arial"/>
          <w:sz w:val="20"/>
          <w:szCs w:val="20"/>
        </w:rPr>
        <w:t xml:space="preserve"> </w:t>
      </w:r>
      <w:r>
        <w:rPr>
          <w:rFonts w:ascii="Arial" w:eastAsia="Arial" w:hAnsi="Arial" w:cs="Arial"/>
          <w:sz w:val="20"/>
          <w:szCs w:val="20"/>
        </w:rPr>
        <w:t xml:space="preserve">ist </w:t>
      </w:r>
      <w:r w:rsidR="00F94D05" w:rsidRPr="002D2922">
        <w:rPr>
          <w:rFonts w:ascii="Arial" w:eastAsia="Arial" w:hAnsi="Arial" w:cs="Arial"/>
          <w:sz w:val="20"/>
          <w:szCs w:val="20"/>
        </w:rPr>
        <w:t xml:space="preserve">verpflichtet, im Rahmen des ihm Zumutbaren an der Herstellung des </w:t>
      </w:r>
      <w:r>
        <w:rPr>
          <w:rFonts w:ascii="Arial" w:eastAsia="Arial" w:hAnsi="Arial" w:cs="Arial"/>
          <w:sz w:val="20"/>
          <w:szCs w:val="20"/>
        </w:rPr>
        <w:t xml:space="preserve">ordnungsgemäßen Zustandes und eines reibungslosen Anbieterwechsels </w:t>
      </w:r>
      <w:r w:rsidR="00F94D05" w:rsidRPr="002D2922">
        <w:rPr>
          <w:rFonts w:ascii="Arial" w:eastAsia="Arial" w:hAnsi="Arial" w:cs="Arial"/>
          <w:sz w:val="20"/>
          <w:szCs w:val="20"/>
        </w:rPr>
        <w:t>unverzüglich mitzuwirken, insbesondere Handlungen auszuführen, die in seinem Einflussbereich vorzunehmen sind. Dazu gehört insbesondere die Zustimmung zu einem erneuten Anbieterwechsel.</w:t>
      </w:r>
    </w:p>
    <w:p w14:paraId="76648217" w14:textId="77777777" w:rsidR="00F94D05" w:rsidRDefault="00767C6B" w:rsidP="00F94D05">
      <w:pPr>
        <w:spacing w:after="60"/>
        <w:ind w:left="567" w:hanging="567"/>
        <w:jc w:val="both"/>
        <w:rPr>
          <w:rFonts w:ascii="Arial" w:eastAsia="Arial" w:hAnsi="Arial" w:cs="Arial"/>
          <w:sz w:val="20"/>
          <w:szCs w:val="20"/>
          <w:shd w:val="clear" w:color="auto" w:fill="FFFF00"/>
        </w:rPr>
      </w:pPr>
      <w:r w:rsidRPr="00401C83">
        <w:rPr>
          <w:rFonts w:ascii="Arial" w:eastAsia="Arial" w:hAnsi="Arial" w:cs="Arial"/>
          <w:sz w:val="20"/>
          <w:szCs w:val="20"/>
        </w:rPr>
        <w:t>4</w:t>
      </w:r>
      <w:r w:rsidR="00F94D05" w:rsidRPr="00401C83">
        <w:rPr>
          <w:rFonts w:ascii="Arial" w:eastAsia="Arial" w:hAnsi="Arial" w:cs="Arial"/>
          <w:sz w:val="20"/>
          <w:szCs w:val="20"/>
        </w:rPr>
        <w:t>.3</w:t>
      </w:r>
      <w:r w:rsidR="00F94D05" w:rsidRPr="00401C83">
        <w:rPr>
          <w:rFonts w:ascii="Arial" w:eastAsia="Arial" w:hAnsi="Arial" w:cs="Arial"/>
          <w:sz w:val="20"/>
          <w:szCs w:val="20"/>
        </w:rPr>
        <w:tab/>
      </w:r>
      <w:r w:rsidR="00F94D05" w:rsidRPr="00866F27">
        <w:rPr>
          <w:rFonts w:ascii="Arial" w:eastAsia="Arial" w:hAnsi="Arial" w:cs="Arial"/>
          <w:sz w:val="20"/>
          <w:szCs w:val="20"/>
          <w:shd w:val="clear" w:color="auto" w:fill="FFFF00"/>
        </w:rPr>
        <w:t xml:space="preserve">Sofern in einem Kalendermonat mehr als 1 % der Anbieterwechsel mit / oder ohne Rufnummernübertragung (bis zum Erreichen einer monatlichen Menge von 2500 vom </w:t>
      </w:r>
      <w:proofErr w:type="spellStart"/>
      <w:r w:rsidR="00354685" w:rsidRPr="00866F27">
        <w:rPr>
          <w:rFonts w:ascii="Arial" w:eastAsia="Arial" w:hAnsi="Arial" w:cs="Arial"/>
          <w:sz w:val="20"/>
          <w:szCs w:val="20"/>
          <w:shd w:val="clear" w:color="auto" w:fill="FFFF00"/>
        </w:rPr>
        <w:t>EKP</w:t>
      </w:r>
      <w:r w:rsidR="0091189A" w:rsidRPr="0091189A">
        <w:rPr>
          <w:rFonts w:ascii="Arial" w:eastAsia="Arial" w:hAnsi="Arial" w:cs="Arial"/>
          <w:sz w:val="20"/>
          <w:szCs w:val="20"/>
          <w:shd w:val="clear" w:color="auto" w:fill="FFFF00"/>
          <w:vertAlign w:val="subscript"/>
        </w:rPr>
        <w:t>auf</w:t>
      </w:r>
      <w:proofErr w:type="spellEnd"/>
      <w:r w:rsidR="00F94D05" w:rsidRPr="00866F27">
        <w:rPr>
          <w:rFonts w:ascii="Arial" w:eastAsia="Arial" w:hAnsi="Arial" w:cs="Arial"/>
          <w:sz w:val="20"/>
          <w:szCs w:val="20"/>
          <w:shd w:val="clear" w:color="auto" w:fill="FFFF00"/>
        </w:rPr>
        <w:t xml:space="preserve"> übermittelter Anfragen gilt ein Schwellenwert von 25 Anfragen pro Kalendermonat) je Produktvertrag vo</w:t>
      </w:r>
      <w:r w:rsidR="00401C83" w:rsidRPr="00866F27">
        <w:rPr>
          <w:rFonts w:ascii="Arial" w:eastAsia="Arial" w:hAnsi="Arial" w:cs="Arial"/>
          <w:sz w:val="20"/>
          <w:szCs w:val="20"/>
          <w:shd w:val="clear" w:color="auto" w:fill="FFFF00"/>
        </w:rPr>
        <w:t>m</w:t>
      </w:r>
      <w:r w:rsidR="005B74CB">
        <w:rPr>
          <w:rFonts w:ascii="Arial" w:eastAsia="Arial" w:hAnsi="Arial" w:cs="Arial"/>
          <w:sz w:val="20"/>
          <w:szCs w:val="20"/>
          <w:shd w:val="clear" w:color="auto" w:fill="FFFF00"/>
        </w:rPr>
        <w:t xml:space="preserve"> </w:t>
      </w:r>
      <w:proofErr w:type="spellStart"/>
      <w:r w:rsidR="00354685" w:rsidRPr="00866F27">
        <w:rPr>
          <w:rFonts w:ascii="Arial" w:eastAsia="Arial" w:hAnsi="Arial" w:cs="Arial"/>
          <w:sz w:val="20"/>
          <w:szCs w:val="20"/>
          <w:shd w:val="clear" w:color="auto" w:fill="FFFF00"/>
        </w:rPr>
        <w:t>EKP</w:t>
      </w:r>
      <w:r w:rsidR="0091189A" w:rsidRPr="0091189A">
        <w:rPr>
          <w:rFonts w:ascii="Arial" w:eastAsia="Arial" w:hAnsi="Arial" w:cs="Arial"/>
          <w:sz w:val="20"/>
          <w:szCs w:val="20"/>
          <w:shd w:val="clear" w:color="auto" w:fill="FFFF00"/>
          <w:vertAlign w:val="subscript"/>
        </w:rPr>
        <w:t>abg</w:t>
      </w:r>
      <w:proofErr w:type="spellEnd"/>
      <w:r w:rsidR="00F94D05" w:rsidRPr="00866F27">
        <w:rPr>
          <w:rFonts w:ascii="Arial" w:eastAsia="Arial" w:hAnsi="Arial" w:cs="Arial"/>
          <w:sz w:val="20"/>
          <w:szCs w:val="20"/>
          <w:shd w:val="clear" w:color="auto" w:fill="FFFF00"/>
        </w:rPr>
        <w:t xml:space="preserve"> </w:t>
      </w:r>
      <w:r w:rsidR="00401C83" w:rsidRPr="00866F27">
        <w:rPr>
          <w:rFonts w:ascii="Arial" w:eastAsia="Arial" w:hAnsi="Arial" w:cs="Arial"/>
          <w:sz w:val="20"/>
          <w:szCs w:val="20"/>
          <w:shd w:val="clear" w:color="auto" w:fill="FFFF00"/>
        </w:rPr>
        <w:t>mitt</w:t>
      </w:r>
      <w:r w:rsidR="00D75013" w:rsidRPr="00866F27">
        <w:rPr>
          <w:rFonts w:ascii="Arial" w:eastAsia="Arial" w:hAnsi="Arial" w:cs="Arial"/>
          <w:sz w:val="20"/>
          <w:szCs w:val="20"/>
          <w:shd w:val="clear" w:color="auto" w:fill="FFFF00"/>
        </w:rPr>
        <w:t>e</w:t>
      </w:r>
      <w:r w:rsidR="00401C83" w:rsidRPr="00866F27">
        <w:rPr>
          <w:rFonts w:ascii="Arial" w:eastAsia="Arial" w:hAnsi="Arial" w:cs="Arial"/>
          <w:sz w:val="20"/>
          <w:szCs w:val="20"/>
          <w:shd w:val="clear" w:color="auto" w:fill="FFFF00"/>
        </w:rPr>
        <w:t xml:space="preserve">ls NWE abgelehnt </w:t>
      </w:r>
      <w:r w:rsidR="00F94D05" w:rsidRPr="00866F27">
        <w:rPr>
          <w:rFonts w:ascii="Arial" w:eastAsia="Arial" w:hAnsi="Arial" w:cs="Arial"/>
          <w:sz w:val="20"/>
          <w:szCs w:val="20"/>
          <w:shd w:val="clear" w:color="auto" w:fill="FFFF00"/>
        </w:rPr>
        <w:t xml:space="preserve"> werden</w:t>
      </w:r>
      <w:r w:rsidR="00401C83" w:rsidRPr="00866F27">
        <w:rPr>
          <w:rFonts w:ascii="Arial" w:eastAsia="Arial" w:hAnsi="Arial" w:cs="Arial"/>
          <w:sz w:val="20"/>
          <w:szCs w:val="20"/>
          <w:shd w:val="clear" w:color="auto" w:fill="FFFF00"/>
        </w:rPr>
        <w:t xml:space="preserve"> und </w:t>
      </w:r>
      <w:r w:rsidR="00F94D05" w:rsidRPr="00866F27">
        <w:rPr>
          <w:rFonts w:ascii="Arial" w:eastAsia="Arial" w:hAnsi="Arial" w:cs="Arial"/>
          <w:sz w:val="20"/>
          <w:szCs w:val="20"/>
          <w:shd w:val="clear" w:color="auto" w:fill="FFFF00"/>
        </w:rPr>
        <w:t xml:space="preserve"> die Endkundenerklärungen </w:t>
      </w:r>
      <w:r w:rsidR="00627054">
        <w:rPr>
          <w:rFonts w:ascii="Arial" w:eastAsia="Arial" w:hAnsi="Arial" w:cs="Arial"/>
          <w:sz w:val="20"/>
          <w:szCs w:val="20"/>
          <w:shd w:val="clear" w:color="auto" w:fill="FFFF00"/>
        </w:rPr>
        <w:t xml:space="preserve">nach berechtigter Aufforderung zum Nachweis entsprechend 3.2 </w:t>
      </w:r>
      <w:r w:rsidR="00F94D05" w:rsidRPr="00866F27">
        <w:rPr>
          <w:rFonts w:ascii="Arial" w:eastAsia="Arial" w:hAnsi="Arial" w:cs="Arial"/>
          <w:sz w:val="20"/>
          <w:szCs w:val="20"/>
          <w:shd w:val="clear" w:color="auto" w:fill="FFFF00"/>
        </w:rPr>
        <w:t xml:space="preserve">nicht nachgewiesen wurden, kann der </w:t>
      </w:r>
      <w:proofErr w:type="spellStart"/>
      <w:r w:rsidR="00354685" w:rsidRPr="00866F27">
        <w:rPr>
          <w:rFonts w:ascii="Arial" w:eastAsia="Arial" w:hAnsi="Arial" w:cs="Arial"/>
          <w:sz w:val="20"/>
          <w:szCs w:val="20"/>
          <w:shd w:val="clear" w:color="auto" w:fill="FFFF00"/>
        </w:rPr>
        <w:t>EKP</w:t>
      </w:r>
      <w:r w:rsidR="0091189A" w:rsidRPr="0091189A">
        <w:rPr>
          <w:rFonts w:ascii="Arial" w:eastAsia="Arial" w:hAnsi="Arial" w:cs="Arial"/>
          <w:sz w:val="20"/>
          <w:szCs w:val="20"/>
          <w:shd w:val="clear" w:color="auto" w:fill="FFFF00"/>
          <w:vertAlign w:val="subscript"/>
        </w:rPr>
        <w:t>auf</w:t>
      </w:r>
      <w:proofErr w:type="spellEnd"/>
      <w:r w:rsidR="00F94D05" w:rsidRPr="00866F27">
        <w:rPr>
          <w:rFonts w:ascii="Arial" w:eastAsia="Arial" w:hAnsi="Arial" w:cs="Arial"/>
          <w:sz w:val="20"/>
          <w:szCs w:val="20"/>
          <w:shd w:val="clear" w:color="auto" w:fill="FFFF00"/>
        </w:rPr>
        <w:t xml:space="preserve"> </w:t>
      </w:r>
      <w:r w:rsidR="00D75013" w:rsidRPr="00866F27">
        <w:rPr>
          <w:rFonts w:ascii="Arial" w:eastAsia="Arial" w:hAnsi="Arial" w:cs="Arial"/>
          <w:sz w:val="20"/>
          <w:szCs w:val="20"/>
          <w:shd w:val="clear" w:color="auto" w:fill="FFFF00"/>
        </w:rPr>
        <w:t xml:space="preserve">bei zukünftigen NWE-Ablehnungen </w:t>
      </w:r>
      <w:r w:rsidR="00F94D05" w:rsidRPr="00866F27">
        <w:rPr>
          <w:rFonts w:ascii="Arial" w:eastAsia="Arial" w:hAnsi="Arial" w:cs="Arial"/>
          <w:sz w:val="20"/>
          <w:szCs w:val="20"/>
          <w:shd w:val="clear" w:color="auto" w:fill="FFFF00"/>
        </w:rPr>
        <w:t>abweichend von Ziff. 1.2 die Vorlage</w:t>
      </w:r>
      <w:r w:rsidR="001C5B97" w:rsidRPr="00866F27">
        <w:rPr>
          <w:rFonts w:ascii="Arial" w:eastAsia="Arial" w:hAnsi="Arial" w:cs="Arial"/>
          <w:sz w:val="20"/>
          <w:szCs w:val="20"/>
          <w:shd w:val="clear" w:color="auto" w:fill="FFFF00"/>
        </w:rPr>
        <w:t xml:space="preserve"> </w:t>
      </w:r>
      <w:r w:rsidR="00C8110E" w:rsidRPr="00866F27">
        <w:rPr>
          <w:rFonts w:ascii="Arial" w:eastAsia="Arial" w:hAnsi="Arial" w:cs="Arial"/>
          <w:sz w:val="20"/>
          <w:szCs w:val="20"/>
          <w:shd w:val="clear" w:color="auto" w:fill="FFFF00"/>
        </w:rPr>
        <w:t xml:space="preserve">des Nachweises </w:t>
      </w:r>
      <w:r w:rsidR="001C5B97" w:rsidRPr="00866F27">
        <w:rPr>
          <w:rFonts w:ascii="Arial" w:eastAsia="Arial" w:hAnsi="Arial" w:cs="Arial"/>
          <w:sz w:val="20"/>
          <w:szCs w:val="20"/>
          <w:shd w:val="clear" w:color="auto" w:fill="FFFF00"/>
        </w:rPr>
        <w:t>der</w:t>
      </w:r>
      <w:r w:rsidR="0088513E" w:rsidRPr="00866F27">
        <w:rPr>
          <w:rFonts w:ascii="Arial" w:eastAsia="Arial" w:hAnsi="Arial" w:cs="Arial"/>
          <w:sz w:val="20"/>
          <w:szCs w:val="20"/>
          <w:shd w:val="clear" w:color="auto" w:fill="FFFF00"/>
        </w:rPr>
        <w:t xml:space="preserve"> </w:t>
      </w:r>
      <w:r w:rsidR="00F94D05" w:rsidRPr="00866F27">
        <w:rPr>
          <w:rFonts w:ascii="Arial" w:eastAsia="Arial" w:hAnsi="Arial" w:cs="Arial"/>
          <w:sz w:val="20"/>
          <w:szCs w:val="20"/>
          <w:shd w:val="clear" w:color="auto" w:fill="FFFF00"/>
        </w:rPr>
        <w:t>Endkundenerklärungen fordern. Nach einer dreimonatigen Unterschreitung der 1%-Grenze findet wieder das Regelverfahren Anwendung</w:t>
      </w:r>
      <w:r w:rsidR="00F94D05" w:rsidRPr="00866F27">
        <w:rPr>
          <w:rFonts w:ascii="Arial" w:eastAsia="Arial" w:hAnsi="Arial" w:cs="Arial"/>
          <w:i/>
          <w:sz w:val="20"/>
          <w:szCs w:val="20"/>
          <w:shd w:val="clear" w:color="auto" w:fill="FFFF00"/>
        </w:rPr>
        <w:t>.</w:t>
      </w:r>
      <w:r w:rsidRPr="00866F27">
        <w:rPr>
          <w:rFonts w:ascii="Arial" w:eastAsia="Arial" w:hAnsi="Arial" w:cs="Arial"/>
          <w:sz w:val="20"/>
          <w:szCs w:val="20"/>
          <w:shd w:val="clear" w:color="auto" w:fill="FFFF00"/>
        </w:rPr>
        <w:t xml:space="preserve"> </w:t>
      </w:r>
    </w:p>
    <w:p w14:paraId="76648218" w14:textId="77777777" w:rsidR="00247877" w:rsidRDefault="00247877" w:rsidP="00F94D05">
      <w:pPr>
        <w:spacing w:after="60"/>
        <w:ind w:left="567" w:hanging="567"/>
        <w:jc w:val="both"/>
        <w:rPr>
          <w:rFonts w:ascii="Arial" w:eastAsia="Arial" w:hAnsi="Arial" w:cs="Arial"/>
          <w:sz w:val="20"/>
          <w:szCs w:val="20"/>
          <w:shd w:val="clear" w:color="auto" w:fill="FFFF00"/>
        </w:rPr>
      </w:pPr>
    </w:p>
    <w:p w14:paraId="76648219" w14:textId="77777777" w:rsidR="00247877" w:rsidRPr="00767C6B" w:rsidRDefault="00247877" w:rsidP="00F94D05">
      <w:pPr>
        <w:spacing w:after="60"/>
        <w:ind w:left="567" w:hanging="567"/>
        <w:jc w:val="both"/>
        <w:rPr>
          <w:rFonts w:ascii="Arial" w:eastAsia="Arial" w:hAnsi="Arial" w:cs="Arial"/>
          <w:sz w:val="20"/>
          <w:szCs w:val="20"/>
        </w:rPr>
      </w:pPr>
    </w:p>
    <w:p w14:paraId="7664821A" w14:textId="77777777" w:rsidR="00F94D05" w:rsidRPr="002D2922" w:rsidRDefault="00767C6B" w:rsidP="00F94D05">
      <w:pPr>
        <w:pStyle w:val="berschrift1"/>
        <w:ind w:left="0" w:firstLine="0"/>
        <w:rPr>
          <w:sz w:val="20"/>
          <w:szCs w:val="20"/>
        </w:rPr>
      </w:pPr>
      <w:r>
        <w:rPr>
          <w:sz w:val="20"/>
          <w:szCs w:val="20"/>
        </w:rPr>
        <w:lastRenderedPageBreak/>
        <w:t>5</w:t>
      </w:r>
      <w:r w:rsidR="00F94D05" w:rsidRPr="002D2922">
        <w:rPr>
          <w:sz w:val="20"/>
          <w:szCs w:val="20"/>
        </w:rPr>
        <w:t>.</w:t>
      </w:r>
      <w:r w:rsidR="00F94D05" w:rsidRPr="002D2922">
        <w:rPr>
          <w:sz w:val="20"/>
          <w:szCs w:val="20"/>
        </w:rPr>
        <w:tab/>
        <w:t>Vertragsstrafe bei Verstoß gegen die Verpflichtungen aus Ziff. 2.2</w:t>
      </w:r>
    </w:p>
    <w:p w14:paraId="7664821B" w14:textId="77777777" w:rsidR="00F94D05" w:rsidRDefault="00767C6B" w:rsidP="00F3300B">
      <w:pPr>
        <w:spacing w:after="60"/>
        <w:ind w:left="567" w:hanging="567"/>
        <w:jc w:val="both"/>
        <w:rPr>
          <w:rFonts w:ascii="Arial" w:eastAsia="Arial" w:hAnsi="Arial" w:cs="Arial"/>
          <w:sz w:val="20"/>
          <w:szCs w:val="20"/>
        </w:rPr>
      </w:pPr>
      <w:r>
        <w:rPr>
          <w:rFonts w:ascii="Arial" w:eastAsia="Arial" w:hAnsi="Arial" w:cs="Arial"/>
          <w:sz w:val="20"/>
          <w:szCs w:val="20"/>
        </w:rPr>
        <w:t>5</w:t>
      </w:r>
      <w:r w:rsidR="00F94D05" w:rsidRPr="002D2922">
        <w:rPr>
          <w:rFonts w:ascii="Arial" w:eastAsia="Arial" w:hAnsi="Arial" w:cs="Arial"/>
          <w:sz w:val="20"/>
          <w:szCs w:val="20"/>
        </w:rPr>
        <w:t>.1</w:t>
      </w:r>
      <w:r w:rsidR="00F94D05" w:rsidRPr="002D2922">
        <w:rPr>
          <w:rFonts w:ascii="Arial" w:eastAsia="Arial" w:hAnsi="Arial" w:cs="Arial"/>
          <w:sz w:val="20"/>
          <w:szCs w:val="20"/>
        </w:rPr>
        <w:tab/>
      </w:r>
      <w:r w:rsidR="00F94D05" w:rsidRPr="00863B18">
        <w:rPr>
          <w:rFonts w:ascii="Arial" w:eastAsia="Arial" w:hAnsi="Arial" w:cs="Arial"/>
          <w:sz w:val="20"/>
          <w:szCs w:val="20"/>
        </w:rPr>
        <w:t xml:space="preserve">Die </w:t>
      </w:r>
      <w:r w:rsidR="00E64AC8" w:rsidRPr="00863B18">
        <w:rPr>
          <w:rFonts w:ascii="Arial" w:eastAsia="Arial" w:hAnsi="Arial" w:cs="Arial"/>
          <w:sz w:val="20"/>
          <w:szCs w:val="20"/>
        </w:rPr>
        <w:t>Vertragsparteien</w:t>
      </w:r>
      <w:r w:rsidR="00F94D05" w:rsidRPr="00863B18">
        <w:rPr>
          <w:rFonts w:ascii="Arial" w:eastAsia="Arial" w:hAnsi="Arial" w:cs="Arial"/>
          <w:sz w:val="20"/>
          <w:szCs w:val="20"/>
        </w:rPr>
        <w:t xml:space="preserve"> zahlen</w:t>
      </w:r>
      <w:r w:rsidR="00354685" w:rsidRPr="00863B18">
        <w:rPr>
          <w:rFonts w:ascii="Arial" w:eastAsia="Arial" w:hAnsi="Arial" w:cs="Arial"/>
          <w:sz w:val="20"/>
          <w:szCs w:val="20"/>
        </w:rPr>
        <w:t xml:space="preserve"> jeweils</w:t>
      </w:r>
      <w:r w:rsidR="00F94D05" w:rsidRPr="00863B18">
        <w:rPr>
          <w:rFonts w:ascii="Arial" w:eastAsia="Arial" w:hAnsi="Arial" w:cs="Arial"/>
          <w:sz w:val="20"/>
          <w:szCs w:val="20"/>
        </w:rPr>
        <w:t xml:space="preserve"> als </w:t>
      </w:r>
      <w:proofErr w:type="spellStart"/>
      <w:r w:rsidR="00354685" w:rsidRPr="00AF1441">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F94D05" w:rsidRPr="00AF1441">
        <w:rPr>
          <w:rFonts w:ascii="Arial" w:eastAsia="Arial" w:hAnsi="Arial" w:cs="Arial"/>
          <w:sz w:val="20"/>
          <w:szCs w:val="20"/>
        </w:rPr>
        <w:t xml:space="preserve"> an den </w:t>
      </w:r>
      <w:proofErr w:type="spellStart"/>
      <w:r w:rsidR="00354685" w:rsidRPr="00AF1441">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F94D05" w:rsidRPr="00AF1441">
        <w:rPr>
          <w:rFonts w:ascii="Arial" w:eastAsia="Arial" w:hAnsi="Arial" w:cs="Arial"/>
          <w:sz w:val="20"/>
          <w:szCs w:val="20"/>
        </w:rPr>
        <w:t xml:space="preserve"> </w:t>
      </w:r>
      <w:r w:rsidR="00F94D05" w:rsidRPr="00863B18">
        <w:rPr>
          <w:rFonts w:ascii="Arial" w:eastAsia="Arial" w:hAnsi="Arial" w:cs="Arial"/>
          <w:sz w:val="20"/>
          <w:szCs w:val="20"/>
        </w:rPr>
        <w:t>bezogen auf den einzelnen Fall des Anbieterwechsels mit / oder ohne Rufnummernportierung</w:t>
      </w:r>
      <w:r w:rsidR="00CD1390" w:rsidRPr="00AF1441">
        <w:rPr>
          <w:rFonts w:ascii="Arial" w:eastAsia="Arial" w:hAnsi="Arial" w:cs="Arial"/>
          <w:sz w:val="20"/>
          <w:szCs w:val="20"/>
        </w:rPr>
        <w:t xml:space="preserve">, in dem sie als </w:t>
      </w:r>
      <w:proofErr w:type="spellStart"/>
      <w:r w:rsidR="00CD1390" w:rsidRPr="00AF1441">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CD1390" w:rsidRPr="00AF1441">
        <w:rPr>
          <w:rFonts w:ascii="Arial" w:eastAsia="Arial" w:hAnsi="Arial" w:cs="Arial"/>
          <w:sz w:val="20"/>
          <w:szCs w:val="20"/>
        </w:rPr>
        <w:t xml:space="preserve"> die</w:t>
      </w:r>
      <w:r w:rsidR="00F94D05" w:rsidRPr="00AF1441">
        <w:rPr>
          <w:rFonts w:ascii="Arial" w:eastAsia="Arial" w:hAnsi="Arial" w:cs="Arial"/>
          <w:sz w:val="20"/>
          <w:szCs w:val="20"/>
        </w:rPr>
        <w:t xml:space="preserve"> </w:t>
      </w:r>
      <w:r w:rsidR="00CD1390" w:rsidRPr="00AF1441">
        <w:rPr>
          <w:rFonts w:ascii="Arial" w:eastAsia="Arial" w:hAnsi="Arial" w:cs="Arial"/>
          <w:sz w:val="20"/>
          <w:szCs w:val="20"/>
        </w:rPr>
        <w:t xml:space="preserve">Erklärung des Endkunden, keinen Anbieterwechsel mehr zu wünschen gegenüber dem </w:t>
      </w:r>
      <w:proofErr w:type="spellStart"/>
      <w:r w:rsidR="00CD1390" w:rsidRPr="00AF1441">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CD1390" w:rsidRPr="00AF1441">
        <w:rPr>
          <w:rFonts w:ascii="Arial" w:eastAsia="Arial" w:hAnsi="Arial" w:cs="Arial"/>
          <w:sz w:val="20"/>
          <w:szCs w:val="20"/>
        </w:rPr>
        <w:t xml:space="preserve"> nicht oder nicht fristgerecht nachgewiesen haben, </w:t>
      </w:r>
      <w:r w:rsidR="00F94D05" w:rsidRPr="00AF1441">
        <w:rPr>
          <w:rFonts w:ascii="Arial" w:eastAsia="Arial" w:hAnsi="Arial" w:cs="Arial"/>
          <w:sz w:val="20"/>
          <w:szCs w:val="20"/>
        </w:rPr>
        <w:t>eine Vertragsstrafe in Höhe von 300,- EUR, es sei denn, sie haben die Zuwiderhandlung nicht zu vertreten.</w:t>
      </w:r>
      <w:r w:rsidR="00AF1441">
        <w:rPr>
          <w:rFonts w:ascii="Arial" w:eastAsia="Arial" w:hAnsi="Arial" w:cs="Arial"/>
          <w:sz w:val="20"/>
          <w:szCs w:val="20"/>
        </w:rPr>
        <w:t xml:space="preserve"> </w:t>
      </w:r>
      <w:r w:rsidR="00AF1441" w:rsidRPr="00863B18">
        <w:rPr>
          <w:rFonts w:ascii="Arial" w:eastAsia="Arial" w:hAnsi="Arial" w:cs="Arial"/>
          <w:sz w:val="20"/>
          <w:szCs w:val="20"/>
        </w:rPr>
        <w:t xml:space="preserve">Die Vertragsparteien zahlen jeweils als </w:t>
      </w:r>
      <w:proofErr w:type="spellStart"/>
      <w:r w:rsidR="00AF1441" w:rsidRPr="00AF1441">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AF1441" w:rsidRPr="00AF1441">
        <w:rPr>
          <w:rFonts w:ascii="Arial" w:eastAsia="Arial" w:hAnsi="Arial" w:cs="Arial"/>
          <w:sz w:val="20"/>
          <w:szCs w:val="20"/>
        </w:rPr>
        <w:t xml:space="preserve"> an den </w:t>
      </w:r>
      <w:proofErr w:type="spellStart"/>
      <w:r w:rsidR="00AF1441" w:rsidRPr="00AF1441">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AF1441">
        <w:rPr>
          <w:rFonts w:ascii="Arial" w:eastAsia="Arial" w:hAnsi="Arial" w:cs="Arial"/>
          <w:sz w:val="20"/>
          <w:szCs w:val="20"/>
        </w:rPr>
        <w:t xml:space="preserve"> </w:t>
      </w:r>
      <w:r w:rsidR="00AF1441" w:rsidRPr="00A632FF">
        <w:rPr>
          <w:rFonts w:ascii="Arial" w:eastAsia="Arial" w:hAnsi="Arial" w:cs="Arial"/>
          <w:sz w:val="20"/>
          <w:szCs w:val="20"/>
        </w:rPr>
        <w:t>bezogen auf den einzelnen Fall</w:t>
      </w:r>
      <w:r w:rsidR="00AF1441">
        <w:rPr>
          <w:rFonts w:ascii="Arial" w:eastAsia="Arial" w:hAnsi="Arial" w:cs="Arial"/>
          <w:sz w:val="20"/>
          <w:szCs w:val="20"/>
        </w:rPr>
        <w:t xml:space="preserve"> eine Vertragsstrafe in gleicher Höhe, wenn </w:t>
      </w:r>
      <w:r w:rsidR="00540212">
        <w:rPr>
          <w:rFonts w:ascii="Arial" w:eastAsia="Arial" w:hAnsi="Arial" w:cs="Arial"/>
          <w:sz w:val="20"/>
          <w:szCs w:val="20"/>
        </w:rPr>
        <w:t>sie</w:t>
      </w:r>
      <w:r w:rsidR="00AF1441">
        <w:rPr>
          <w:rFonts w:ascii="Arial" w:eastAsia="Arial" w:hAnsi="Arial" w:cs="Arial"/>
          <w:sz w:val="20"/>
          <w:szCs w:val="20"/>
        </w:rPr>
        <w:t xml:space="preserve"> </w:t>
      </w:r>
      <w:r w:rsidR="00540212">
        <w:rPr>
          <w:rFonts w:ascii="Arial" w:eastAsia="Arial" w:hAnsi="Arial" w:cs="Arial"/>
          <w:sz w:val="20"/>
          <w:szCs w:val="20"/>
        </w:rPr>
        <w:t>entgegen der Zusicherung</w:t>
      </w:r>
      <w:r w:rsidR="00F3300B">
        <w:rPr>
          <w:rFonts w:ascii="Arial" w:eastAsia="Arial" w:hAnsi="Arial" w:cs="Arial"/>
          <w:sz w:val="20"/>
          <w:szCs w:val="20"/>
        </w:rPr>
        <w:t xml:space="preserve"> nach Ziff.</w:t>
      </w:r>
      <w:r w:rsidR="00540212">
        <w:rPr>
          <w:rFonts w:ascii="Arial" w:eastAsia="Arial" w:hAnsi="Arial" w:cs="Arial"/>
          <w:sz w:val="20"/>
          <w:szCs w:val="20"/>
        </w:rPr>
        <w:t xml:space="preserve"> 3.3. nach einer erneuten Vorabstimmungsanfrage eine im Vergleich zur NWE-Ablehnung zeitlich jüngere Endkundenerklärung </w:t>
      </w:r>
      <w:r w:rsidR="00540212" w:rsidRPr="00AF1441">
        <w:rPr>
          <w:rFonts w:ascii="Arial" w:eastAsia="Arial" w:hAnsi="Arial" w:cs="Arial"/>
          <w:sz w:val="20"/>
          <w:szCs w:val="20"/>
        </w:rPr>
        <w:t>nicht oder nicht fristgerecht nachgewiesen haben</w:t>
      </w:r>
      <w:r w:rsidR="00F3300B">
        <w:rPr>
          <w:rFonts w:ascii="Arial" w:eastAsia="Arial" w:hAnsi="Arial" w:cs="Arial"/>
          <w:sz w:val="20"/>
          <w:szCs w:val="20"/>
        </w:rPr>
        <w:t xml:space="preserve">, </w:t>
      </w:r>
      <w:r w:rsidR="00F3300B" w:rsidRPr="00AF1441">
        <w:rPr>
          <w:rFonts w:ascii="Arial" w:eastAsia="Arial" w:hAnsi="Arial" w:cs="Arial"/>
          <w:sz w:val="20"/>
          <w:szCs w:val="20"/>
        </w:rPr>
        <w:t>es sei denn, sie haben die Zuwiderhandlung nicht zu vertreten</w:t>
      </w:r>
      <w:r w:rsidR="00540212">
        <w:rPr>
          <w:rFonts w:ascii="Arial" w:eastAsia="Arial" w:hAnsi="Arial" w:cs="Arial"/>
          <w:sz w:val="20"/>
          <w:szCs w:val="20"/>
        </w:rPr>
        <w:t>.</w:t>
      </w:r>
      <w:r w:rsidR="00DB1495">
        <w:rPr>
          <w:rFonts w:ascii="Arial" w:eastAsia="Arial" w:hAnsi="Arial" w:cs="Arial"/>
          <w:sz w:val="20"/>
          <w:szCs w:val="20"/>
        </w:rPr>
        <w:t xml:space="preserve"> Hat ein Vertragspartner eine Vertragsstrafe gemäß des vorstehenden Satzes zu zahlen, so kann der andere Vertragspartner nicht zusätzlich eine Vertragsstrafe nach Anlage 1, Ziffer 6 verlangen. </w:t>
      </w:r>
    </w:p>
    <w:p w14:paraId="7664821C" w14:textId="77777777" w:rsidR="00AF1441" w:rsidRPr="00AF1441" w:rsidRDefault="00AF1441" w:rsidP="00AF1441">
      <w:pPr>
        <w:spacing w:after="60"/>
        <w:ind w:left="567"/>
        <w:jc w:val="both"/>
        <w:rPr>
          <w:rFonts w:ascii="Arial" w:eastAsia="Arial" w:hAnsi="Arial" w:cs="Arial"/>
          <w:sz w:val="20"/>
          <w:szCs w:val="20"/>
        </w:rPr>
      </w:pPr>
    </w:p>
    <w:p w14:paraId="7664821D" w14:textId="77777777" w:rsidR="0000026B" w:rsidRPr="00863B18" w:rsidRDefault="00767C6B" w:rsidP="0000026B">
      <w:pPr>
        <w:spacing w:after="60"/>
        <w:ind w:left="567" w:hanging="567"/>
        <w:jc w:val="both"/>
        <w:rPr>
          <w:rFonts w:ascii="Arial" w:eastAsia="Arial" w:hAnsi="Arial" w:cs="Arial"/>
          <w:sz w:val="20"/>
          <w:szCs w:val="20"/>
        </w:rPr>
      </w:pPr>
      <w:r w:rsidRPr="00863B18">
        <w:rPr>
          <w:rFonts w:ascii="Arial" w:eastAsia="Arial" w:hAnsi="Arial" w:cs="Arial"/>
          <w:sz w:val="20"/>
          <w:szCs w:val="20"/>
        </w:rPr>
        <w:t>5</w:t>
      </w:r>
      <w:r w:rsidR="00F94D05" w:rsidRPr="00863B18">
        <w:rPr>
          <w:rFonts w:ascii="Arial" w:eastAsia="Arial" w:hAnsi="Arial" w:cs="Arial"/>
          <w:sz w:val="20"/>
          <w:szCs w:val="20"/>
        </w:rPr>
        <w:t>.2</w:t>
      </w:r>
      <w:r w:rsidR="00F94D05" w:rsidRPr="00863B18">
        <w:rPr>
          <w:rFonts w:ascii="Arial" w:eastAsia="Arial" w:hAnsi="Arial" w:cs="Arial"/>
          <w:sz w:val="20"/>
          <w:szCs w:val="20"/>
        </w:rPr>
        <w:tab/>
        <w:t xml:space="preserve">Schadensersatzansprüche und der Anspruch auf Freistellung </w:t>
      </w:r>
      <w:r w:rsidR="00F94D05" w:rsidRPr="000A41E7">
        <w:rPr>
          <w:rFonts w:ascii="Arial" w:eastAsia="Arial" w:hAnsi="Arial" w:cs="Arial"/>
          <w:sz w:val="20"/>
          <w:szCs w:val="20"/>
        </w:rPr>
        <w:t xml:space="preserve">bleiben von den Regelungen des vorstehenden Absatzes </w:t>
      </w:r>
      <w:r w:rsidR="00103F13" w:rsidRPr="000A41E7">
        <w:rPr>
          <w:rFonts w:ascii="Arial" w:eastAsia="Arial" w:hAnsi="Arial" w:cs="Arial"/>
          <w:sz w:val="20"/>
          <w:szCs w:val="20"/>
        </w:rPr>
        <w:t>5</w:t>
      </w:r>
      <w:r w:rsidR="00F94D05" w:rsidRPr="000A41E7">
        <w:rPr>
          <w:rFonts w:ascii="Arial" w:eastAsia="Arial" w:hAnsi="Arial" w:cs="Arial"/>
          <w:sz w:val="20"/>
          <w:szCs w:val="20"/>
        </w:rPr>
        <w:t>.1 unberührt.</w:t>
      </w:r>
      <w:r w:rsidR="0000026B" w:rsidRPr="00863B18">
        <w:rPr>
          <w:rFonts w:ascii="Arial" w:eastAsia="Arial" w:hAnsi="Arial" w:cs="Arial"/>
          <w:sz w:val="20"/>
          <w:szCs w:val="20"/>
        </w:rPr>
        <w:t xml:space="preserve"> </w:t>
      </w:r>
    </w:p>
    <w:p w14:paraId="7664821E" w14:textId="77777777" w:rsidR="00F94D05" w:rsidRPr="00863B18" w:rsidRDefault="00F94D05" w:rsidP="00F94D05">
      <w:pPr>
        <w:spacing w:after="60"/>
        <w:ind w:left="567" w:hanging="567"/>
        <w:jc w:val="both"/>
        <w:rPr>
          <w:rFonts w:ascii="Arial" w:eastAsia="Arial" w:hAnsi="Arial" w:cs="Arial"/>
          <w:sz w:val="20"/>
          <w:szCs w:val="20"/>
        </w:rPr>
      </w:pPr>
    </w:p>
    <w:p w14:paraId="7664821F" w14:textId="77777777" w:rsidR="00F94D05" w:rsidRDefault="00767C6B" w:rsidP="00F94D05">
      <w:pPr>
        <w:spacing w:after="60"/>
        <w:ind w:left="567" w:hanging="567"/>
        <w:jc w:val="both"/>
        <w:rPr>
          <w:rFonts w:ascii="Arial" w:eastAsia="Arial" w:hAnsi="Arial" w:cs="Arial"/>
          <w:sz w:val="20"/>
          <w:szCs w:val="20"/>
        </w:rPr>
      </w:pPr>
      <w:r w:rsidRPr="00863B18">
        <w:rPr>
          <w:rFonts w:ascii="Arial" w:eastAsia="Arial" w:hAnsi="Arial" w:cs="Arial"/>
          <w:sz w:val="20"/>
          <w:szCs w:val="20"/>
        </w:rPr>
        <w:t>5</w:t>
      </w:r>
      <w:r w:rsidR="00F94D05" w:rsidRPr="00863B18">
        <w:rPr>
          <w:rFonts w:ascii="Arial" w:eastAsia="Arial" w:hAnsi="Arial" w:cs="Arial"/>
          <w:sz w:val="20"/>
          <w:szCs w:val="20"/>
        </w:rPr>
        <w:t>.3</w:t>
      </w:r>
      <w:r w:rsidR="00F94D05" w:rsidRPr="00863B18">
        <w:rPr>
          <w:rFonts w:ascii="Arial" w:eastAsia="Arial" w:hAnsi="Arial" w:cs="Arial"/>
          <w:sz w:val="20"/>
          <w:szCs w:val="20"/>
        </w:rPr>
        <w:tab/>
        <w:t>Bezogen auf den einzelnen Fall des koordinierten Anbieterwechsels und</w:t>
      </w:r>
      <w:r w:rsidR="00354685" w:rsidRPr="00863B18">
        <w:rPr>
          <w:rFonts w:ascii="Arial" w:eastAsia="Arial" w:hAnsi="Arial" w:cs="Arial"/>
          <w:sz w:val="20"/>
          <w:szCs w:val="20"/>
        </w:rPr>
        <w:t xml:space="preserve"> </w:t>
      </w:r>
      <w:r w:rsidR="00F94D05" w:rsidRPr="00863B18">
        <w:rPr>
          <w:rFonts w:ascii="Arial" w:eastAsia="Arial" w:hAnsi="Arial" w:cs="Arial"/>
          <w:sz w:val="20"/>
          <w:szCs w:val="20"/>
        </w:rPr>
        <w:t>/</w:t>
      </w:r>
      <w:r w:rsidR="00354685" w:rsidRPr="00863B18">
        <w:rPr>
          <w:rFonts w:ascii="Arial" w:eastAsia="Arial" w:hAnsi="Arial" w:cs="Arial"/>
          <w:sz w:val="20"/>
          <w:szCs w:val="20"/>
        </w:rPr>
        <w:t xml:space="preserve"> </w:t>
      </w:r>
      <w:r w:rsidR="00F94D05" w:rsidRPr="00863B18">
        <w:rPr>
          <w:rFonts w:ascii="Arial" w:eastAsia="Arial" w:hAnsi="Arial" w:cs="Arial"/>
          <w:sz w:val="20"/>
          <w:szCs w:val="20"/>
        </w:rPr>
        <w:t xml:space="preserve">oder der Rufnummernportierung </w:t>
      </w:r>
      <w:r w:rsidR="00FE3844">
        <w:rPr>
          <w:rFonts w:ascii="Arial" w:eastAsia="Arial" w:hAnsi="Arial" w:cs="Arial"/>
          <w:sz w:val="20"/>
          <w:szCs w:val="20"/>
        </w:rPr>
        <w:t>werden</w:t>
      </w:r>
      <w:r w:rsidR="00F94D05" w:rsidRPr="00863B18">
        <w:rPr>
          <w:rFonts w:ascii="Arial" w:eastAsia="Arial" w:hAnsi="Arial" w:cs="Arial"/>
          <w:sz w:val="20"/>
          <w:szCs w:val="20"/>
        </w:rPr>
        <w:t xml:space="preserve"> </w:t>
      </w:r>
      <w:r w:rsidR="00FE3844">
        <w:rPr>
          <w:rFonts w:ascii="Arial" w:eastAsia="Arial" w:hAnsi="Arial" w:cs="Arial"/>
          <w:sz w:val="20"/>
          <w:szCs w:val="20"/>
        </w:rPr>
        <w:t xml:space="preserve">von den Vertragspartnern </w:t>
      </w:r>
      <w:r w:rsidR="00F94D05" w:rsidRPr="00863B18">
        <w:rPr>
          <w:rFonts w:ascii="Arial" w:eastAsia="Arial" w:hAnsi="Arial" w:cs="Arial"/>
          <w:sz w:val="20"/>
          <w:szCs w:val="20"/>
        </w:rPr>
        <w:t>zu zahlende Vertragsstrafe</w:t>
      </w:r>
      <w:r w:rsidR="00FE3844">
        <w:rPr>
          <w:rFonts w:ascii="Arial" w:eastAsia="Arial" w:hAnsi="Arial" w:cs="Arial"/>
          <w:sz w:val="20"/>
          <w:szCs w:val="20"/>
        </w:rPr>
        <w:t>n</w:t>
      </w:r>
      <w:r w:rsidR="00F94D05" w:rsidRPr="00863B18">
        <w:rPr>
          <w:rFonts w:ascii="Arial" w:eastAsia="Arial" w:hAnsi="Arial" w:cs="Arial"/>
          <w:sz w:val="20"/>
          <w:szCs w:val="20"/>
        </w:rPr>
        <w:t xml:space="preserve"> auf einen Schadensersatzanspruch</w:t>
      </w:r>
      <w:r w:rsidR="00FE3844">
        <w:rPr>
          <w:rFonts w:ascii="Arial" w:eastAsia="Arial" w:hAnsi="Arial" w:cs="Arial"/>
          <w:sz w:val="20"/>
          <w:szCs w:val="20"/>
        </w:rPr>
        <w:t xml:space="preserve"> der jeweils geschädigten </w:t>
      </w:r>
      <w:r w:rsidR="002A5A88">
        <w:rPr>
          <w:rFonts w:ascii="Arial" w:eastAsia="Arial" w:hAnsi="Arial" w:cs="Arial"/>
          <w:sz w:val="20"/>
          <w:szCs w:val="20"/>
        </w:rPr>
        <w:t>Vertragsp</w:t>
      </w:r>
      <w:r w:rsidR="00FE3844">
        <w:rPr>
          <w:rFonts w:ascii="Arial" w:eastAsia="Arial" w:hAnsi="Arial" w:cs="Arial"/>
          <w:sz w:val="20"/>
          <w:szCs w:val="20"/>
        </w:rPr>
        <w:t>artei</w:t>
      </w:r>
      <w:r w:rsidR="00F94D05" w:rsidRPr="00863B18">
        <w:rPr>
          <w:rFonts w:ascii="Arial" w:eastAsia="Arial" w:hAnsi="Arial" w:cs="Arial"/>
          <w:sz w:val="20"/>
          <w:szCs w:val="20"/>
        </w:rPr>
        <w:t xml:space="preserve"> angerechne</w:t>
      </w:r>
      <w:r w:rsidR="00F94D05" w:rsidRPr="002A5A88">
        <w:rPr>
          <w:rFonts w:ascii="Arial" w:eastAsia="Arial" w:hAnsi="Arial" w:cs="Arial"/>
          <w:sz w:val="20"/>
          <w:szCs w:val="20"/>
        </w:rPr>
        <w:t>t</w:t>
      </w:r>
      <w:r w:rsidR="00F94D05" w:rsidRPr="00487726">
        <w:rPr>
          <w:rFonts w:ascii="Arial" w:eastAsia="Arial" w:hAnsi="Arial" w:cs="Arial"/>
          <w:sz w:val="20"/>
          <w:szCs w:val="20"/>
        </w:rPr>
        <w:t>.</w:t>
      </w:r>
    </w:p>
    <w:p w14:paraId="76648220" w14:textId="77777777" w:rsidR="004B5643" w:rsidRPr="002D2922" w:rsidRDefault="004B5643" w:rsidP="004B5643">
      <w:pPr>
        <w:spacing w:after="60"/>
        <w:ind w:left="567" w:hanging="567"/>
        <w:jc w:val="both"/>
        <w:rPr>
          <w:rFonts w:ascii="Arial" w:eastAsia="Arial" w:hAnsi="Arial" w:cs="Arial"/>
          <w:sz w:val="20"/>
          <w:szCs w:val="20"/>
        </w:rPr>
      </w:pPr>
    </w:p>
    <w:p w14:paraId="76648221" w14:textId="77777777" w:rsidR="00F94D05" w:rsidRPr="002D2922" w:rsidRDefault="00767C6B" w:rsidP="00F94D05">
      <w:pPr>
        <w:pStyle w:val="berschrift1"/>
        <w:ind w:left="0" w:firstLine="0"/>
        <w:rPr>
          <w:sz w:val="20"/>
          <w:szCs w:val="20"/>
        </w:rPr>
      </w:pPr>
      <w:r>
        <w:rPr>
          <w:sz w:val="20"/>
          <w:szCs w:val="20"/>
        </w:rPr>
        <w:t>6</w:t>
      </w:r>
      <w:r w:rsidR="00F94D05" w:rsidRPr="002D2922">
        <w:rPr>
          <w:sz w:val="20"/>
          <w:szCs w:val="20"/>
        </w:rPr>
        <w:t>.</w:t>
      </w:r>
      <w:r w:rsidR="00F94D05" w:rsidRPr="002D2922">
        <w:rPr>
          <w:sz w:val="20"/>
          <w:szCs w:val="20"/>
        </w:rPr>
        <w:tab/>
      </w:r>
      <w:r w:rsidR="00EE779A">
        <w:rPr>
          <w:sz w:val="20"/>
          <w:szCs w:val="20"/>
        </w:rPr>
        <w:t xml:space="preserve">Haftung, Schadensersatz, </w:t>
      </w:r>
      <w:r w:rsidR="00F94D05" w:rsidRPr="002D2922">
        <w:rPr>
          <w:sz w:val="20"/>
          <w:szCs w:val="20"/>
        </w:rPr>
        <w:t>Freistellung</w:t>
      </w:r>
    </w:p>
    <w:p w14:paraId="76648222" w14:textId="77777777" w:rsidR="0000026B" w:rsidRPr="002D2922" w:rsidRDefault="00767C6B" w:rsidP="0000026B">
      <w:pPr>
        <w:spacing w:after="60"/>
        <w:ind w:left="567" w:hanging="567"/>
        <w:jc w:val="both"/>
        <w:rPr>
          <w:rFonts w:ascii="Arial" w:eastAsia="Arial" w:hAnsi="Arial" w:cs="Arial"/>
          <w:sz w:val="20"/>
          <w:szCs w:val="20"/>
        </w:rPr>
      </w:pPr>
      <w:r>
        <w:rPr>
          <w:rFonts w:ascii="Arial" w:eastAsia="Arial" w:hAnsi="Arial" w:cs="Arial"/>
          <w:sz w:val="20"/>
          <w:szCs w:val="20"/>
        </w:rPr>
        <w:t>6</w:t>
      </w:r>
      <w:r w:rsidR="00F94D05" w:rsidRPr="002D2922">
        <w:rPr>
          <w:rFonts w:ascii="Arial" w:eastAsia="Arial" w:hAnsi="Arial" w:cs="Arial"/>
          <w:sz w:val="20"/>
          <w:szCs w:val="20"/>
        </w:rPr>
        <w:t>.1</w:t>
      </w:r>
      <w:r w:rsidR="00F94D05" w:rsidRPr="002D2922">
        <w:rPr>
          <w:rFonts w:ascii="Arial" w:eastAsia="Arial" w:hAnsi="Arial" w:cs="Arial"/>
          <w:sz w:val="20"/>
          <w:szCs w:val="20"/>
        </w:rPr>
        <w:tab/>
      </w:r>
      <w:r w:rsidR="00103F13">
        <w:rPr>
          <w:rFonts w:ascii="Arial" w:eastAsia="Arial" w:hAnsi="Arial" w:cs="Arial"/>
          <w:sz w:val="20"/>
          <w:szCs w:val="20"/>
        </w:rPr>
        <w:t xml:space="preserve">Hat der </w:t>
      </w:r>
      <w:proofErr w:type="spellStart"/>
      <w:r w:rsidR="00103F13">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103F13">
        <w:rPr>
          <w:rFonts w:ascii="Arial" w:eastAsia="Arial" w:hAnsi="Arial" w:cs="Arial"/>
          <w:sz w:val="20"/>
          <w:szCs w:val="20"/>
        </w:rPr>
        <w:t xml:space="preserve"> die Vorabstimmungsanfrage mit dem Ablehnungsgrund NWE abgelehnt obwohl </w:t>
      </w:r>
      <w:r w:rsidR="00C22CDD">
        <w:rPr>
          <w:rFonts w:ascii="Arial" w:eastAsia="Arial" w:hAnsi="Arial" w:cs="Arial"/>
          <w:sz w:val="20"/>
          <w:szCs w:val="20"/>
        </w:rPr>
        <w:t xml:space="preserve">dem </w:t>
      </w:r>
      <w:proofErr w:type="spellStart"/>
      <w:r w:rsidR="00C22CDD">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C22CDD">
        <w:rPr>
          <w:rFonts w:ascii="Arial" w:eastAsia="Arial" w:hAnsi="Arial" w:cs="Arial"/>
          <w:sz w:val="20"/>
          <w:szCs w:val="20"/>
        </w:rPr>
        <w:t xml:space="preserve"> keine Erklärung des Endkunden vorlag, dass der Vertrag bei </w:t>
      </w:r>
      <w:proofErr w:type="spellStart"/>
      <w:r w:rsidR="00C22CDD">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C22CDD">
        <w:rPr>
          <w:rFonts w:ascii="Arial" w:eastAsia="Arial" w:hAnsi="Arial" w:cs="Arial"/>
          <w:sz w:val="20"/>
          <w:szCs w:val="20"/>
        </w:rPr>
        <w:t xml:space="preserve"> fortgeführt werden soll </w:t>
      </w:r>
      <w:r w:rsidR="00F94D05" w:rsidRPr="002D2922">
        <w:rPr>
          <w:rFonts w:ascii="Arial" w:eastAsia="Arial" w:hAnsi="Arial" w:cs="Arial"/>
          <w:sz w:val="20"/>
          <w:szCs w:val="20"/>
        </w:rPr>
        <w:t xml:space="preserve">, haftet der </w:t>
      </w:r>
      <w:proofErr w:type="spellStart"/>
      <w:r w:rsidR="00354685"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F94D05" w:rsidRPr="002D2922">
        <w:rPr>
          <w:rFonts w:ascii="Arial" w:eastAsia="Arial" w:hAnsi="Arial" w:cs="Arial"/>
          <w:sz w:val="20"/>
          <w:szCs w:val="20"/>
        </w:rPr>
        <w:t xml:space="preserve"> für alle beim </w:t>
      </w:r>
      <w:proofErr w:type="spellStart"/>
      <w:r w:rsidR="00354685"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F94D05" w:rsidRPr="002D2922">
        <w:rPr>
          <w:rFonts w:ascii="Arial" w:eastAsia="Arial" w:hAnsi="Arial" w:cs="Arial"/>
          <w:sz w:val="20"/>
          <w:szCs w:val="20"/>
        </w:rPr>
        <w:t xml:space="preserve"> und dem Endkunden dadurch entstehenden Schäden, es sei denn, der </w:t>
      </w:r>
      <w:proofErr w:type="spellStart"/>
      <w:r w:rsidR="00354685" w:rsidRPr="002D2922">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F94D05" w:rsidRPr="002D2922">
        <w:rPr>
          <w:rFonts w:ascii="Arial" w:eastAsia="Arial" w:hAnsi="Arial" w:cs="Arial"/>
          <w:sz w:val="20"/>
          <w:szCs w:val="20"/>
        </w:rPr>
        <w:t xml:space="preserve"> hat</w:t>
      </w:r>
      <w:r w:rsidR="00F0315A">
        <w:rPr>
          <w:rFonts w:ascii="Arial" w:eastAsia="Arial" w:hAnsi="Arial" w:cs="Arial"/>
          <w:sz w:val="20"/>
          <w:szCs w:val="20"/>
        </w:rPr>
        <w:t xml:space="preserve"> </w:t>
      </w:r>
      <w:r w:rsidR="003349A1">
        <w:rPr>
          <w:rFonts w:ascii="Arial" w:eastAsia="Arial" w:hAnsi="Arial" w:cs="Arial"/>
          <w:sz w:val="20"/>
          <w:szCs w:val="20"/>
        </w:rPr>
        <w:t xml:space="preserve">dies </w:t>
      </w:r>
      <w:r w:rsidR="00F94D05" w:rsidRPr="002D2922">
        <w:rPr>
          <w:rFonts w:ascii="Arial" w:eastAsia="Arial" w:hAnsi="Arial" w:cs="Arial"/>
          <w:sz w:val="20"/>
          <w:szCs w:val="20"/>
        </w:rPr>
        <w:t>nicht zu vertreten.</w:t>
      </w:r>
      <w:r w:rsidR="003349A1">
        <w:rPr>
          <w:rFonts w:ascii="Arial" w:eastAsia="Arial" w:hAnsi="Arial" w:cs="Arial"/>
          <w:sz w:val="20"/>
          <w:szCs w:val="20"/>
        </w:rPr>
        <w:t xml:space="preserve"> </w:t>
      </w:r>
      <w:r w:rsidR="0000026B">
        <w:rPr>
          <w:rFonts w:ascii="Arial" w:eastAsia="Arial" w:hAnsi="Arial" w:cs="Arial"/>
          <w:sz w:val="20"/>
          <w:szCs w:val="20"/>
        </w:rPr>
        <w:t xml:space="preserve">Entsprechend haftet der </w:t>
      </w:r>
      <w:proofErr w:type="spellStart"/>
      <w:r w:rsidR="0000026B">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00026B">
        <w:rPr>
          <w:rFonts w:ascii="Arial" w:eastAsia="Arial" w:hAnsi="Arial" w:cs="Arial"/>
          <w:sz w:val="20"/>
          <w:szCs w:val="20"/>
        </w:rPr>
        <w:t xml:space="preserve"> gegenüber dem </w:t>
      </w:r>
      <w:proofErr w:type="spellStart"/>
      <w:r w:rsidR="0000026B">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00026B">
        <w:rPr>
          <w:rFonts w:ascii="Arial" w:eastAsia="Arial" w:hAnsi="Arial" w:cs="Arial"/>
          <w:sz w:val="20"/>
          <w:szCs w:val="20"/>
        </w:rPr>
        <w:t xml:space="preserve"> in dem Fall der Ziff. 3.3, in dem er nach einer NWE-Ablehnung eine erneute auf den Anbieterwechsel gerichtete Vorabstimmungsanfrage an den </w:t>
      </w:r>
      <w:proofErr w:type="spellStart"/>
      <w:r w:rsidR="0000026B">
        <w:rPr>
          <w:rFonts w:ascii="Arial" w:eastAsia="Arial" w:hAnsi="Arial" w:cs="Arial"/>
          <w:sz w:val="20"/>
          <w:szCs w:val="20"/>
        </w:rPr>
        <w:t>EKP</w:t>
      </w:r>
      <w:r w:rsidR="0091189A" w:rsidRPr="0091189A">
        <w:rPr>
          <w:rFonts w:ascii="Arial" w:eastAsia="Arial" w:hAnsi="Arial" w:cs="Arial"/>
          <w:sz w:val="20"/>
          <w:szCs w:val="20"/>
          <w:vertAlign w:val="subscript"/>
        </w:rPr>
        <w:t>abg</w:t>
      </w:r>
      <w:proofErr w:type="spellEnd"/>
      <w:r w:rsidR="0000026B">
        <w:rPr>
          <w:rFonts w:ascii="Arial" w:eastAsia="Arial" w:hAnsi="Arial" w:cs="Arial"/>
          <w:sz w:val="20"/>
          <w:szCs w:val="20"/>
        </w:rPr>
        <w:t xml:space="preserve"> übermittelt, obwohl ihm eine zeitlich jüngere Willenserklärung des Endkunden nicht vorliegt.</w:t>
      </w:r>
    </w:p>
    <w:p w14:paraId="76648223" w14:textId="77777777" w:rsidR="003349A1" w:rsidRPr="002D2922" w:rsidRDefault="003349A1" w:rsidP="00903B93">
      <w:pPr>
        <w:spacing w:after="60"/>
        <w:ind w:left="567" w:hanging="567"/>
        <w:jc w:val="both"/>
        <w:rPr>
          <w:rFonts w:ascii="Arial" w:eastAsia="Arial" w:hAnsi="Arial" w:cs="Arial"/>
          <w:sz w:val="20"/>
          <w:szCs w:val="20"/>
        </w:rPr>
      </w:pPr>
    </w:p>
    <w:p w14:paraId="76648224" w14:textId="77777777" w:rsidR="00F94D05" w:rsidRDefault="00767C6B" w:rsidP="00F94D05">
      <w:pPr>
        <w:spacing w:after="60"/>
        <w:ind w:left="567" w:hanging="567"/>
        <w:jc w:val="both"/>
        <w:rPr>
          <w:rFonts w:ascii="Arial" w:eastAsia="Arial" w:hAnsi="Arial" w:cs="Arial"/>
          <w:sz w:val="20"/>
          <w:szCs w:val="20"/>
        </w:rPr>
      </w:pPr>
      <w:r>
        <w:rPr>
          <w:rFonts w:ascii="Arial" w:eastAsia="Arial" w:hAnsi="Arial" w:cs="Arial"/>
          <w:sz w:val="20"/>
          <w:szCs w:val="20"/>
        </w:rPr>
        <w:t>6</w:t>
      </w:r>
      <w:r w:rsidR="00F94D05" w:rsidRPr="002D2922">
        <w:rPr>
          <w:rFonts w:ascii="Arial" w:eastAsia="Arial" w:hAnsi="Arial" w:cs="Arial"/>
          <w:sz w:val="20"/>
          <w:szCs w:val="20"/>
        </w:rPr>
        <w:t>.2</w:t>
      </w:r>
      <w:r w:rsidR="00F94D05" w:rsidRPr="002D2922">
        <w:rPr>
          <w:rFonts w:ascii="Arial" w:eastAsia="Arial" w:hAnsi="Arial" w:cs="Arial"/>
          <w:sz w:val="20"/>
          <w:szCs w:val="20"/>
        </w:rPr>
        <w:tab/>
        <w:t xml:space="preserve">Darüber hinaus stellt der </w:t>
      </w:r>
      <w:r w:rsidR="00F0315A">
        <w:rPr>
          <w:rFonts w:ascii="Arial" w:eastAsia="Arial" w:hAnsi="Arial" w:cs="Arial"/>
          <w:sz w:val="20"/>
          <w:szCs w:val="20"/>
        </w:rPr>
        <w:t>abgebende</w:t>
      </w:r>
      <w:r w:rsidR="00F0315A" w:rsidRPr="002D2922">
        <w:rPr>
          <w:rFonts w:ascii="Arial" w:eastAsia="Arial" w:hAnsi="Arial" w:cs="Arial"/>
          <w:sz w:val="20"/>
          <w:szCs w:val="20"/>
        </w:rPr>
        <w:t xml:space="preserve"> </w:t>
      </w:r>
      <w:r w:rsidR="00F94D05" w:rsidRPr="002D2922">
        <w:rPr>
          <w:rFonts w:ascii="Arial" w:eastAsia="Arial" w:hAnsi="Arial" w:cs="Arial"/>
          <w:sz w:val="20"/>
          <w:szCs w:val="20"/>
        </w:rPr>
        <w:t xml:space="preserve">Anbieter den </w:t>
      </w:r>
      <w:proofErr w:type="spellStart"/>
      <w:r w:rsidR="00354685" w:rsidRPr="002D2922">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F94D05" w:rsidRPr="002D2922">
        <w:rPr>
          <w:rFonts w:ascii="Arial" w:eastAsia="Arial" w:hAnsi="Arial" w:cs="Arial"/>
          <w:sz w:val="20"/>
          <w:szCs w:val="20"/>
        </w:rPr>
        <w:t xml:space="preserve"> von allen Forderungen Dritter frei, die sich aus den unter dem vorstehenden Absatz beschriebenen Sachverhalten ergeben.</w:t>
      </w:r>
      <w:r w:rsidR="0000026B">
        <w:rPr>
          <w:rFonts w:ascii="Arial" w:eastAsia="Arial" w:hAnsi="Arial" w:cs="Arial"/>
          <w:sz w:val="20"/>
          <w:szCs w:val="20"/>
        </w:rPr>
        <w:t xml:space="preserve"> Entsprechende Verpflichtung gilt für den </w:t>
      </w:r>
      <w:proofErr w:type="spellStart"/>
      <w:r w:rsidR="0000026B">
        <w:rPr>
          <w:rFonts w:ascii="Arial" w:eastAsia="Arial" w:hAnsi="Arial" w:cs="Arial"/>
          <w:sz w:val="20"/>
          <w:szCs w:val="20"/>
        </w:rPr>
        <w:t>EKP</w:t>
      </w:r>
      <w:r w:rsidR="0091189A" w:rsidRPr="0091189A">
        <w:rPr>
          <w:rFonts w:ascii="Arial" w:eastAsia="Arial" w:hAnsi="Arial" w:cs="Arial"/>
          <w:sz w:val="20"/>
          <w:szCs w:val="20"/>
          <w:vertAlign w:val="subscript"/>
        </w:rPr>
        <w:t>auf</w:t>
      </w:r>
      <w:proofErr w:type="spellEnd"/>
      <w:r w:rsidR="0000026B">
        <w:rPr>
          <w:rFonts w:ascii="Arial" w:eastAsia="Arial" w:hAnsi="Arial" w:cs="Arial"/>
          <w:sz w:val="20"/>
          <w:szCs w:val="20"/>
        </w:rPr>
        <w:t xml:space="preserve"> im Falle der Ziff. 3.3.</w:t>
      </w:r>
    </w:p>
    <w:p w14:paraId="76648225" w14:textId="77777777" w:rsidR="002C7B9B" w:rsidRDefault="002C7B9B" w:rsidP="00F94D05">
      <w:pPr>
        <w:spacing w:after="60"/>
        <w:ind w:left="567" w:hanging="567"/>
        <w:jc w:val="both"/>
        <w:rPr>
          <w:rFonts w:ascii="Arial" w:eastAsia="Arial" w:hAnsi="Arial" w:cs="Arial"/>
          <w:sz w:val="20"/>
          <w:szCs w:val="20"/>
        </w:rPr>
      </w:pPr>
    </w:p>
    <w:p w14:paraId="76648226" w14:textId="77777777" w:rsidR="002C7B9B" w:rsidRDefault="002C7B9B" w:rsidP="00F94D05">
      <w:pPr>
        <w:spacing w:after="60"/>
        <w:ind w:left="567" w:hanging="567"/>
        <w:jc w:val="both"/>
        <w:rPr>
          <w:rFonts w:ascii="Arial" w:eastAsia="Arial" w:hAnsi="Arial" w:cs="Arial"/>
          <w:sz w:val="20"/>
          <w:szCs w:val="20"/>
        </w:rPr>
      </w:pPr>
    </w:p>
    <w:p w14:paraId="76648227" w14:textId="77777777" w:rsidR="00F94D05" w:rsidRPr="002C7B9B" w:rsidRDefault="002C7B9B" w:rsidP="002C7B9B">
      <w:pPr>
        <w:spacing w:after="60"/>
        <w:ind w:left="567" w:hanging="567"/>
        <w:jc w:val="both"/>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sidRPr="002C7B9B">
        <w:rPr>
          <w:rFonts w:ascii="Arial" w:eastAsia="Arial" w:hAnsi="Arial" w:cs="Arial"/>
          <w:sz w:val="20"/>
          <w:szCs w:val="20"/>
          <w:highlight w:val="yellow"/>
        </w:rPr>
        <w:t>Verzicht auf Ordnungsmittelverfahren</w:t>
      </w:r>
    </w:p>
    <w:p w14:paraId="76648228" w14:textId="77777777" w:rsidR="0000026B" w:rsidRDefault="0000026B" w:rsidP="00CD1390">
      <w:pPr>
        <w:rPr>
          <w:rFonts w:ascii="Arial" w:eastAsia="Arial" w:hAnsi="Arial" w:cs="Arial"/>
          <w:b/>
          <w:bCs/>
          <w:sz w:val="20"/>
          <w:szCs w:val="20"/>
        </w:rPr>
      </w:pPr>
    </w:p>
    <w:p w14:paraId="76648229" w14:textId="77777777" w:rsidR="002203E6" w:rsidRDefault="002203E6" w:rsidP="00CD1390">
      <w:pPr>
        <w:rPr>
          <w:rFonts w:ascii="Arial" w:eastAsia="Arial" w:hAnsi="Arial" w:cs="Arial"/>
          <w:b/>
          <w:bCs/>
          <w:sz w:val="20"/>
          <w:szCs w:val="20"/>
        </w:rPr>
      </w:pPr>
    </w:p>
    <w:p w14:paraId="7664822A" w14:textId="77777777" w:rsidR="002203E6" w:rsidRDefault="002203E6" w:rsidP="0075532D">
      <w:pPr>
        <w:ind w:left="705"/>
        <w:rPr>
          <w:rFonts w:ascii="Arial" w:eastAsia="Arial" w:hAnsi="Arial" w:cs="Arial"/>
          <w:bCs/>
          <w:sz w:val="20"/>
          <w:szCs w:val="20"/>
        </w:rPr>
      </w:pPr>
      <w:r w:rsidRPr="00C6456F">
        <w:rPr>
          <w:rFonts w:ascii="Arial" w:eastAsia="Arial" w:hAnsi="Arial" w:cs="Arial"/>
          <w:bCs/>
          <w:sz w:val="20"/>
          <w:szCs w:val="20"/>
          <w:highlight w:val="yellow"/>
        </w:rPr>
        <w:t xml:space="preserve">Die </w:t>
      </w:r>
      <w:r w:rsidR="002A5A88">
        <w:rPr>
          <w:rFonts w:ascii="Arial" w:eastAsia="Arial" w:hAnsi="Arial" w:cs="Arial"/>
          <w:bCs/>
          <w:sz w:val="20"/>
          <w:szCs w:val="20"/>
          <w:highlight w:val="yellow"/>
        </w:rPr>
        <w:t>Vertragsp</w:t>
      </w:r>
      <w:r w:rsidRPr="00C6456F">
        <w:rPr>
          <w:rFonts w:ascii="Arial" w:eastAsia="Arial" w:hAnsi="Arial" w:cs="Arial"/>
          <w:bCs/>
          <w:sz w:val="20"/>
          <w:szCs w:val="20"/>
          <w:highlight w:val="yellow"/>
        </w:rPr>
        <w:t>arteien verzichten gegenseitig darauf,</w:t>
      </w:r>
      <w:r w:rsidR="0075532D" w:rsidRPr="00C6456F">
        <w:rPr>
          <w:rFonts w:ascii="Arial" w:eastAsia="Arial" w:hAnsi="Arial" w:cs="Arial"/>
          <w:bCs/>
          <w:sz w:val="20"/>
          <w:szCs w:val="20"/>
          <w:highlight w:val="yellow"/>
        </w:rPr>
        <w:t xml:space="preserve"> wegen der unter diese Vereinbarung fallenden Sachverhalte Ordnungsmittelverfahren gegeneinander einzuleiten. Dies gilt sowohl für bereits anhängige als auch zukünftige Gerichtsverfahren, die Sachverhalte gemäß der Ziffern 2.1 bzw. 3.3 zum Gegenstand haben.</w:t>
      </w:r>
    </w:p>
    <w:p w14:paraId="7664822B" w14:textId="77777777" w:rsidR="00601FB6" w:rsidRDefault="00601FB6" w:rsidP="0075532D">
      <w:pPr>
        <w:ind w:left="705"/>
        <w:rPr>
          <w:rFonts w:ascii="Arial" w:eastAsia="Arial" w:hAnsi="Arial" w:cs="Arial"/>
          <w:bCs/>
          <w:sz w:val="20"/>
          <w:szCs w:val="20"/>
        </w:rPr>
      </w:pPr>
    </w:p>
    <w:p w14:paraId="7664822C" w14:textId="77777777" w:rsidR="00601FB6" w:rsidRDefault="00601FB6" w:rsidP="0075532D">
      <w:pPr>
        <w:ind w:left="705"/>
        <w:rPr>
          <w:rFonts w:ascii="Arial" w:eastAsia="Arial" w:hAnsi="Arial" w:cs="Arial"/>
          <w:bCs/>
          <w:sz w:val="20"/>
          <w:szCs w:val="20"/>
        </w:rPr>
      </w:pPr>
    </w:p>
    <w:p w14:paraId="7664822D" w14:textId="77777777" w:rsidR="00601FB6" w:rsidRDefault="00601FB6" w:rsidP="0075532D">
      <w:pPr>
        <w:ind w:left="705"/>
        <w:rPr>
          <w:rFonts w:ascii="Arial" w:eastAsia="Arial" w:hAnsi="Arial" w:cs="Arial"/>
          <w:bCs/>
          <w:sz w:val="20"/>
          <w:szCs w:val="20"/>
        </w:rPr>
      </w:pPr>
    </w:p>
    <w:p w14:paraId="7664822E" w14:textId="77777777" w:rsidR="00601FB6" w:rsidRDefault="00601FB6" w:rsidP="0075532D">
      <w:pPr>
        <w:ind w:left="705"/>
        <w:rPr>
          <w:rFonts w:ascii="Arial" w:eastAsia="Arial" w:hAnsi="Arial" w:cs="Arial"/>
          <w:bCs/>
          <w:sz w:val="20"/>
          <w:szCs w:val="20"/>
        </w:rPr>
      </w:pPr>
    </w:p>
    <w:p w14:paraId="7664822F" w14:textId="77777777" w:rsidR="00601FB6" w:rsidRDefault="00601FB6" w:rsidP="0075532D">
      <w:pPr>
        <w:ind w:left="705"/>
        <w:rPr>
          <w:rFonts w:ascii="Arial" w:eastAsia="Arial" w:hAnsi="Arial" w:cs="Arial"/>
          <w:bCs/>
          <w:sz w:val="20"/>
          <w:szCs w:val="20"/>
        </w:rPr>
      </w:pPr>
    </w:p>
    <w:p w14:paraId="76648230" w14:textId="77777777" w:rsidR="00601FB6" w:rsidRDefault="00601FB6" w:rsidP="0075532D">
      <w:pPr>
        <w:ind w:left="705"/>
        <w:rPr>
          <w:rFonts w:ascii="Arial" w:eastAsia="Arial" w:hAnsi="Arial" w:cs="Arial"/>
          <w:bCs/>
          <w:sz w:val="20"/>
          <w:szCs w:val="20"/>
        </w:rPr>
      </w:pPr>
    </w:p>
    <w:p w14:paraId="76648231" w14:textId="77777777" w:rsidR="00601FB6" w:rsidRDefault="00601FB6" w:rsidP="0075532D">
      <w:pPr>
        <w:ind w:left="705"/>
        <w:rPr>
          <w:rFonts w:ascii="Arial" w:eastAsia="Arial" w:hAnsi="Arial" w:cs="Arial"/>
          <w:bCs/>
          <w:sz w:val="20"/>
          <w:szCs w:val="20"/>
        </w:rPr>
      </w:pPr>
    </w:p>
    <w:p w14:paraId="76648232" w14:textId="77777777" w:rsidR="00601FB6" w:rsidRDefault="00601FB6" w:rsidP="0075532D">
      <w:pPr>
        <w:ind w:left="705"/>
        <w:rPr>
          <w:rFonts w:ascii="Arial" w:eastAsia="Arial" w:hAnsi="Arial" w:cs="Arial"/>
          <w:bCs/>
          <w:sz w:val="20"/>
          <w:szCs w:val="20"/>
        </w:rPr>
      </w:pPr>
    </w:p>
    <w:p w14:paraId="76648233" w14:textId="77777777" w:rsidR="00601FB6" w:rsidRDefault="00601FB6" w:rsidP="0075532D">
      <w:pPr>
        <w:ind w:left="705"/>
        <w:rPr>
          <w:rFonts w:ascii="Arial" w:eastAsia="Arial" w:hAnsi="Arial" w:cs="Arial"/>
          <w:bCs/>
          <w:sz w:val="20"/>
          <w:szCs w:val="20"/>
        </w:rPr>
      </w:pPr>
    </w:p>
    <w:p w14:paraId="76648234" w14:textId="77777777" w:rsidR="00601FB6" w:rsidRPr="002203E6" w:rsidRDefault="00601FB6" w:rsidP="0075532D">
      <w:pPr>
        <w:ind w:left="705"/>
        <w:rPr>
          <w:rFonts w:ascii="Arial" w:eastAsia="Arial" w:hAnsi="Arial" w:cs="Arial"/>
          <w:bCs/>
          <w:sz w:val="20"/>
          <w:szCs w:val="20"/>
        </w:rPr>
      </w:pPr>
    </w:p>
    <w:p w14:paraId="76648235" w14:textId="77777777" w:rsidR="005D3132" w:rsidRDefault="005D3132"/>
    <w:p w14:paraId="76648236" w14:textId="77777777" w:rsidR="00601FB6" w:rsidRDefault="00601FB6"/>
    <w:p w14:paraId="76648237" w14:textId="77777777" w:rsidR="00601FB6" w:rsidRDefault="00601FB6" w:rsidP="00601FB6">
      <w:pPr>
        <w:pStyle w:val="Body"/>
        <w:rPr>
          <w:lang w:val="en-GB"/>
        </w:rPr>
      </w:pPr>
      <w:r>
        <w:rPr>
          <w:lang w:val="en-GB"/>
        </w:rPr>
        <w:t>Ort, Datum</w:t>
      </w:r>
      <w:r>
        <w:rPr>
          <w:lang w:val="en-GB"/>
        </w:rPr>
        <w:tab/>
      </w:r>
      <w:r>
        <w:rPr>
          <w:lang w:val="en-GB"/>
        </w:rPr>
        <w:tab/>
      </w:r>
      <w:r>
        <w:rPr>
          <w:lang w:val="en-GB"/>
        </w:rPr>
        <w:tab/>
      </w:r>
      <w:r>
        <w:rPr>
          <w:lang w:val="en-GB"/>
        </w:rPr>
        <w:tab/>
      </w:r>
      <w:r>
        <w:rPr>
          <w:lang w:val="en-GB"/>
        </w:rPr>
        <w:tab/>
      </w:r>
      <w:r>
        <w:rPr>
          <w:lang w:val="en-GB"/>
        </w:rPr>
        <w:tab/>
        <w:t>Ort, Datum</w:t>
      </w:r>
    </w:p>
    <w:p w14:paraId="76648238" w14:textId="77777777" w:rsidR="00342F18" w:rsidRPr="00A971C5" w:rsidRDefault="00342F18" w:rsidP="00601FB6">
      <w:pPr>
        <w:pStyle w:val="Body"/>
        <w:rPr>
          <w:lang w:val="en-GB"/>
        </w:rPr>
      </w:pPr>
    </w:p>
    <w:tbl>
      <w:tblPr>
        <w:tblW w:w="8605" w:type="dxa"/>
        <w:tblLook w:val="01E0" w:firstRow="1" w:lastRow="1" w:firstColumn="1" w:lastColumn="1" w:noHBand="0" w:noVBand="0"/>
      </w:tblPr>
      <w:tblGrid>
        <w:gridCol w:w="3833"/>
        <w:gridCol w:w="939"/>
        <w:gridCol w:w="3833"/>
      </w:tblGrid>
      <w:tr w:rsidR="00601FB6" w14:paraId="7664823C" w14:textId="77777777" w:rsidTr="00766B8A">
        <w:tc>
          <w:tcPr>
            <w:tcW w:w="3833" w:type="dxa"/>
            <w:tcBorders>
              <w:bottom w:val="single" w:sz="4" w:space="0" w:color="auto"/>
            </w:tcBorders>
          </w:tcPr>
          <w:p w14:paraId="76648239" w14:textId="77777777" w:rsidR="00601FB6" w:rsidRPr="00A228F5" w:rsidRDefault="00601FB6" w:rsidP="00766B8A">
            <w:pPr>
              <w:pStyle w:val="Body"/>
              <w:rPr>
                <w:lang w:val="en-GB"/>
              </w:rPr>
            </w:pPr>
          </w:p>
        </w:tc>
        <w:tc>
          <w:tcPr>
            <w:tcW w:w="939" w:type="dxa"/>
          </w:tcPr>
          <w:p w14:paraId="7664823A" w14:textId="77777777" w:rsidR="00601FB6" w:rsidRPr="00A228F5" w:rsidRDefault="00601FB6" w:rsidP="00766B8A">
            <w:pPr>
              <w:pStyle w:val="Body"/>
              <w:rPr>
                <w:lang w:val="en-GB"/>
              </w:rPr>
            </w:pPr>
          </w:p>
        </w:tc>
        <w:tc>
          <w:tcPr>
            <w:tcW w:w="3833" w:type="dxa"/>
            <w:tcBorders>
              <w:bottom w:val="single" w:sz="4" w:space="0" w:color="auto"/>
            </w:tcBorders>
          </w:tcPr>
          <w:p w14:paraId="7664823B" w14:textId="77777777" w:rsidR="00601FB6" w:rsidRPr="00A228F5" w:rsidRDefault="00601FB6" w:rsidP="00766B8A">
            <w:pPr>
              <w:pStyle w:val="Body"/>
              <w:rPr>
                <w:lang w:val="en-GB"/>
              </w:rPr>
            </w:pPr>
          </w:p>
        </w:tc>
      </w:tr>
      <w:tr w:rsidR="00601FB6" w:rsidRPr="00447DA4" w14:paraId="76648241" w14:textId="77777777" w:rsidTr="00766B8A">
        <w:tc>
          <w:tcPr>
            <w:tcW w:w="3833" w:type="dxa"/>
            <w:tcBorders>
              <w:top w:val="single" w:sz="4" w:space="0" w:color="auto"/>
            </w:tcBorders>
          </w:tcPr>
          <w:p w14:paraId="7664823D" w14:textId="77777777" w:rsidR="00601FB6" w:rsidRPr="00447DA4" w:rsidRDefault="00601FB6" w:rsidP="00766B8A">
            <w:pPr>
              <w:pStyle w:val="Body"/>
            </w:pPr>
            <w:r>
              <w:t>Anbieter 1</w:t>
            </w:r>
          </w:p>
          <w:p w14:paraId="7664823E" w14:textId="77777777" w:rsidR="00601FB6" w:rsidRPr="00447DA4" w:rsidRDefault="00601FB6" w:rsidP="00766B8A">
            <w:pPr>
              <w:pStyle w:val="Body"/>
            </w:pPr>
          </w:p>
        </w:tc>
        <w:tc>
          <w:tcPr>
            <w:tcW w:w="939" w:type="dxa"/>
          </w:tcPr>
          <w:p w14:paraId="7664823F" w14:textId="77777777" w:rsidR="00601FB6" w:rsidRPr="00447DA4" w:rsidRDefault="00601FB6" w:rsidP="00766B8A">
            <w:pPr>
              <w:pStyle w:val="Body"/>
            </w:pPr>
          </w:p>
        </w:tc>
        <w:tc>
          <w:tcPr>
            <w:tcW w:w="3833" w:type="dxa"/>
            <w:tcBorders>
              <w:top w:val="single" w:sz="4" w:space="0" w:color="auto"/>
            </w:tcBorders>
          </w:tcPr>
          <w:p w14:paraId="76648240" w14:textId="77777777" w:rsidR="00601FB6" w:rsidRPr="00447DA4" w:rsidRDefault="00601FB6" w:rsidP="00766B8A">
            <w:pPr>
              <w:pStyle w:val="Body"/>
            </w:pPr>
            <w:r>
              <w:t>Anbieter 2</w:t>
            </w:r>
          </w:p>
        </w:tc>
      </w:tr>
      <w:tr w:rsidR="00601FB6" w:rsidRPr="00447DA4" w14:paraId="76648245" w14:textId="77777777" w:rsidTr="00766B8A">
        <w:tc>
          <w:tcPr>
            <w:tcW w:w="3833" w:type="dxa"/>
            <w:tcBorders>
              <w:bottom w:val="single" w:sz="4" w:space="0" w:color="auto"/>
            </w:tcBorders>
          </w:tcPr>
          <w:p w14:paraId="76648242" w14:textId="77777777" w:rsidR="00601FB6" w:rsidRPr="00447DA4" w:rsidRDefault="00601FB6" w:rsidP="00766B8A">
            <w:pPr>
              <w:pStyle w:val="Body"/>
            </w:pPr>
          </w:p>
        </w:tc>
        <w:tc>
          <w:tcPr>
            <w:tcW w:w="939" w:type="dxa"/>
          </w:tcPr>
          <w:p w14:paraId="76648243" w14:textId="77777777" w:rsidR="00601FB6" w:rsidRPr="00447DA4" w:rsidRDefault="00601FB6" w:rsidP="00766B8A">
            <w:pPr>
              <w:pStyle w:val="Body"/>
            </w:pPr>
          </w:p>
        </w:tc>
        <w:tc>
          <w:tcPr>
            <w:tcW w:w="3833" w:type="dxa"/>
            <w:tcBorders>
              <w:bottom w:val="single" w:sz="4" w:space="0" w:color="auto"/>
            </w:tcBorders>
          </w:tcPr>
          <w:p w14:paraId="76648244" w14:textId="77777777" w:rsidR="00601FB6" w:rsidRPr="00447DA4" w:rsidRDefault="00601FB6" w:rsidP="00766B8A">
            <w:pPr>
              <w:pStyle w:val="Body"/>
            </w:pPr>
          </w:p>
        </w:tc>
      </w:tr>
      <w:tr w:rsidR="00601FB6" w:rsidRPr="00447DA4" w14:paraId="7664824A" w14:textId="77777777" w:rsidTr="00766B8A">
        <w:tc>
          <w:tcPr>
            <w:tcW w:w="3833" w:type="dxa"/>
            <w:tcBorders>
              <w:top w:val="single" w:sz="4" w:space="0" w:color="auto"/>
            </w:tcBorders>
          </w:tcPr>
          <w:p w14:paraId="76648246" w14:textId="77777777" w:rsidR="00601FB6" w:rsidRPr="00447DA4" w:rsidRDefault="00601FB6" w:rsidP="00766B8A">
            <w:pPr>
              <w:pStyle w:val="Body"/>
            </w:pPr>
            <w:r>
              <w:t>Anbieter 1</w:t>
            </w:r>
          </w:p>
          <w:p w14:paraId="76648247" w14:textId="77777777" w:rsidR="00601FB6" w:rsidRPr="00447DA4" w:rsidRDefault="00601FB6" w:rsidP="00766B8A">
            <w:pPr>
              <w:pStyle w:val="Body"/>
            </w:pPr>
          </w:p>
        </w:tc>
        <w:tc>
          <w:tcPr>
            <w:tcW w:w="939" w:type="dxa"/>
          </w:tcPr>
          <w:p w14:paraId="76648248" w14:textId="77777777" w:rsidR="00601FB6" w:rsidRPr="00447DA4" w:rsidRDefault="00601FB6" w:rsidP="00766B8A">
            <w:pPr>
              <w:pStyle w:val="Body"/>
            </w:pPr>
          </w:p>
        </w:tc>
        <w:tc>
          <w:tcPr>
            <w:tcW w:w="3833" w:type="dxa"/>
            <w:tcBorders>
              <w:top w:val="single" w:sz="4" w:space="0" w:color="auto"/>
            </w:tcBorders>
          </w:tcPr>
          <w:p w14:paraId="76648249" w14:textId="77777777" w:rsidR="00601FB6" w:rsidRPr="00447DA4" w:rsidRDefault="00601FB6" w:rsidP="00766B8A">
            <w:pPr>
              <w:pStyle w:val="Body"/>
            </w:pPr>
            <w:r>
              <w:t>Anbieter 2</w:t>
            </w:r>
          </w:p>
        </w:tc>
      </w:tr>
    </w:tbl>
    <w:p w14:paraId="7664824B" w14:textId="77777777" w:rsidR="00601FB6" w:rsidRDefault="00601FB6"/>
    <w:sectPr w:rsidR="00601FB6" w:rsidSect="002A5A8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8250" w14:textId="77777777" w:rsidR="00AC01AA" w:rsidRDefault="00AC01AA" w:rsidP="00E9149E">
      <w:r>
        <w:separator/>
      </w:r>
    </w:p>
  </w:endnote>
  <w:endnote w:type="continuationSeparator" w:id="0">
    <w:p w14:paraId="76648251" w14:textId="77777777" w:rsidR="00AC01AA" w:rsidRDefault="00AC01AA" w:rsidP="00E9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255" w14:textId="77777777" w:rsidR="0091189A" w:rsidRDefault="009118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256" w14:textId="77777777" w:rsidR="00E9149E" w:rsidRDefault="00E9149E" w:rsidP="00E9149E">
    <w:pPr>
      <w:pStyle w:val="LinklatersHeader"/>
    </w:pPr>
    <w:r>
      <w:t xml:space="preserve">  </w:t>
    </w:r>
  </w:p>
  <w:p w14:paraId="76648257" w14:textId="77777777" w:rsidR="00E9149E" w:rsidRDefault="00601FB6" w:rsidP="00E9149E">
    <w:r>
      <w:t>___________________________________________________________________________</w:t>
    </w:r>
  </w:p>
  <w:p w14:paraId="76648258" w14:textId="77777777" w:rsidR="00E9149E" w:rsidRPr="00601FB6" w:rsidRDefault="00E9149E" w:rsidP="00E9149E">
    <w:pPr>
      <w:pStyle w:val="Fuzeile"/>
      <w:rPr>
        <w:sz w:val="20"/>
        <w:szCs w:val="20"/>
      </w:rPr>
    </w:pPr>
    <w:r w:rsidRPr="00601FB6">
      <w:rPr>
        <w:sz w:val="20"/>
        <w:szCs w:val="20"/>
      </w:rPr>
      <w:t>Vereinbarung über die Nutzung der elektronischen Vorabstimmungsschnittstelle (WBCI)</w:t>
    </w:r>
    <w:r>
      <w:rPr>
        <w:sz w:val="20"/>
        <w:szCs w:val="20"/>
      </w:rPr>
      <w:t xml:space="preserve"> – Vertragsergänzung „NWE“ – Stand: </w:t>
    </w:r>
    <w:r w:rsidR="0091189A">
      <w:rPr>
        <w:sz w:val="20"/>
        <w:szCs w:val="20"/>
      </w:rPr>
      <w:t>01</w:t>
    </w:r>
    <w:r>
      <w:rPr>
        <w:sz w:val="20"/>
        <w:szCs w:val="20"/>
      </w:rPr>
      <w:t>.</w:t>
    </w:r>
    <w:r w:rsidR="0091189A">
      <w:rPr>
        <w:sz w:val="20"/>
        <w:szCs w:val="20"/>
      </w:rPr>
      <w:t>12</w:t>
    </w:r>
    <w:r>
      <w:rPr>
        <w:sz w:val="20"/>
        <w:szCs w:val="20"/>
      </w:rPr>
      <w:t>.</w:t>
    </w:r>
    <w:r w:rsidR="0091189A">
      <w:rPr>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25A" w14:textId="77777777" w:rsidR="0091189A" w:rsidRDefault="009118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824E" w14:textId="77777777" w:rsidR="00AC01AA" w:rsidRDefault="00AC01AA" w:rsidP="00E9149E">
      <w:r>
        <w:separator/>
      </w:r>
    </w:p>
  </w:footnote>
  <w:footnote w:type="continuationSeparator" w:id="0">
    <w:p w14:paraId="7664824F" w14:textId="77777777" w:rsidR="00AC01AA" w:rsidRDefault="00AC01AA" w:rsidP="00E9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252" w14:textId="77777777" w:rsidR="0091189A" w:rsidRDefault="009118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253" w14:textId="77777777" w:rsidR="00601FB6" w:rsidRDefault="00601FB6">
    <w:pPr>
      <w:pStyle w:val="Kopfzeile"/>
      <w:jc w:val="center"/>
    </w:pPr>
    <w:r>
      <w:fldChar w:fldCharType="begin"/>
    </w:r>
    <w:r>
      <w:instrText>PAGE   \* MERGEFORMAT</w:instrText>
    </w:r>
    <w:r>
      <w:fldChar w:fldCharType="separate"/>
    </w:r>
    <w:r w:rsidR="007A6E10">
      <w:rPr>
        <w:noProof/>
      </w:rPr>
      <w:t>3</w:t>
    </w:r>
    <w:r>
      <w:fldChar w:fldCharType="end"/>
    </w:r>
  </w:p>
  <w:p w14:paraId="76648254" w14:textId="77777777" w:rsidR="00601FB6" w:rsidRDefault="00601F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259" w14:textId="77777777" w:rsidR="0091189A" w:rsidRDefault="00911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45C"/>
    <w:multiLevelType w:val="multilevel"/>
    <w:tmpl w:val="CC94FE94"/>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3A325957"/>
    <w:multiLevelType w:val="hybridMultilevel"/>
    <w:tmpl w:val="1C124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6773330">
    <w:abstractNumId w:val="0"/>
  </w:num>
  <w:num w:numId="2" w16cid:durableId="1646007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05"/>
    <w:rsid w:val="0000026B"/>
    <w:rsid w:val="00001EA7"/>
    <w:rsid w:val="00022E40"/>
    <w:rsid w:val="00030FA8"/>
    <w:rsid w:val="00033324"/>
    <w:rsid w:val="00037F8F"/>
    <w:rsid w:val="00043D20"/>
    <w:rsid w:val="000503AC"/>
    <w:rsid w:val="00061D65"/>
    <w:rsid w:val="00062DA7"/>
    <w:rsid w:val="00086A7A"/>
    <w:rsid w:val="000A41E7"/>
    <w:rsid w:val="000B2420"/>
    <w:rsid w:val="000C0AD9"/>
    <w:rsid w:val="000F20D0"/>
    <w:rsid w:val="000F3C9C"/>
    <w:rsid w:val="00103F13"/>
    <w:rsid w:val="0013097B"/>
    <w:rsid w:val="00141274"/>
    <w:rsid w:val="001443C8"/>
    <w:rsid w:val="00175265"/>
    <w:rsid w:val="00196B17"/>
    <w:rsid w:val="001A0042"/>
    <w:rsid w:val="001A1795"/>
    <w:rsid w:val="001C5B97"/>
    <w:rsid w:val="001E0024"/>
    <w:rsid w:val="001F0D66"/>
    <w:rsid w:val="001F3C44"/>
    <w:rsid w:val="001F7DF0"/>
    <w:rsid w:val="002133C6"/>
    <w:rsid w:val="002203E6"/>
    <w:rsid w:val="00224901"/>
    <w:rsid w:val="00226721"/>
    <w:rsid w:val="00235173"/>
    <w:rsid w:val="00247877"/>
    <w:rsid w:val="002709B6"/>
    <w:rsid w:val="00281D86"/>
    <w:rsid w:val="0028571B"/>
    <w:rsid w:val="002A5A88"/>
    <w:rsid w:val="002B1F10"/>
    <w:rsid w:val="002C7B9B"/>
    <w:rsid w:val="002F658E"/>
    <w:rsid w:val="00302225"/>
    <w:rsid w:val="0031123A"/>
    <w:rsid w:val="0031533F"/>
    <w:rsid w:val="003205B7"/>
    <w:rsid w:val="003349A1"/>
    <w:rsid w:val="00341167"/>
    <w:rsid w:val="00342F18"/>
    <w:rsid w:val="00354685"/>
    <w:rsid w:val="00386346"/>
    <w:rsid w:val="00397F3C"/>
    <w:rsid w:val="003A1322"/>
    <w:rsid w:val="003A6928"/>
    <w:rsid w:val="003D4DF8"/>
    <w:rsid w:val="003D57B5"/>
    <w:rsid w:val="00401C83"/>
    <w:rsid w:val="00404884"/>
    <w:rsid w:val="00405D5B"/>
    <w:rsid w:val="00426638"/>
    <w:rsid w:val="00441BEE"/>
    <w:rsid w:val="004468BC"/>
    <w:rsid w:val="00461AB5"/>
    <w:rsid w:val="00475534"/>
    <w:rsid w:val="004805F2"/>
    <w:rsid w:val="00487726"/>
    <w:rsid w:val="004A2BF8"/>
    <w:rsid w:val="004A736B"/>
    <w:rsid w:val="004B5643"/>
    <w:rsid w:val="004D5E61"/>
    <w:rsid w:val="0050526D"/>
    <w:rsid w:val="005071AF"/>
    <w:rsid w:val="00514506"/>
    <w:rsid w:val="00530634"/>
    <w:rsid w:val="00540212"/>
    <w:rsid w:val="00561FFF"/>
    <w:rsid w:val="00594537"/>
    <w:rsid w:val="00597DD6"/>
    <w:rsid w:val="005B1E58"/>
    <w:rsid w:val="005B74CB"/>
    <w:rsid w:val="005D0310"/>
    <w:rsid w:val="005D3132"/>
    <w:rsid w:val="00601FB6"/>
    <w:rsid w:val="00611CF7"/>
    <w:rsid w:val="00627054"/>
    <w:rsid w:val="006752AA"/>
    <w:rsid w:val="0069283C"/>
    <w:rsid w:val="00693B92"/>
    <w:rsid w:val="006B0EBA"/>
    <w:rsid w:val="006B374C"/>
    <w:rsid w:val="006B50C1"/>
    <w:rsid w:val="006D0BFA"/>
    <w:rsid w:val="006D373B"/>
    <w:rsid w:val="007145DD"/>
    <w:rsid w:val="00733C0B"/>
    <w:rsid w:val="00755235"/>
    <w:rsid w:val="0075532D"/>
    <w:rsid w:val="00766B8A"/>
    <w:rsid w:val="00767C6B"/>
    <w:rsid w:val="007720C1"/>
    <w:rsid w:val="00774137"/>
    <w:rsid w:val="007A0E9E"/>
    <w:rsid w:val="007A6E10"/>
    <w:rsid w:val="007C63C2"/>
    <w:rsid w:val="007D5418"/>
    <w:rsid w:val="007D7614"/>
    <w:rsid w:val="00812773"/>
    <w:rsid w:val="00812FB9"/>
    <w:rsid w:val="008340DD"/>
    <w:rsid w:val="00844285"/>
    <w:rsid w:val="008602D6"/>
    <w:rsid w:val="00862999"/>
    <w:rsid w:val="00863B18"/>
    <w:rsid w:val="00866F27"/>
    <w:rsid w:val="0087421A"/>
    <w:rsid w:val="0088513E"/>
    <w:rsid w:val="008A2EAC"/>
    <w:rsid w:val="008C120E"/>
    <w:rsid w:val="008D006D"/>
    <w:rsid w:val="008D42A1"/>
    <w:rsid w:val="008E63D5"/>
    <w:rsid w:val="008E6708"/>
    <w:rsid w:val="008F22D9"/>
    <w:rsid w:val="00900BDE"/>
    <w:rsid w:val="00903B93"/>
    <w:rsid w:val="00904D32"/>
    <w:rsid w:val="0091189A"/>
    <w:rsid w:val="00925AB1"/>
    <w:rsid w:val="00934678"/>
    <w:rsid w:val="00973DDD"/>
    <w:rsid w:val="00977077"/>
    <w:rsid w:val="009771C5"/>
    <w:rsid w:val="00980EB8"/>
    <w:rsid w:val="00983106"/>
    <w:rsid w:val="00987362"/>
    <w:rsid w:val="00992B87"/>
    <w:rsid w:val="009A482A"/>
    <w:rsid w:val="009A59A5"/>
    <w:rsid w:val="009B0580"/>
    <w:rsid w:val="009C3618"/>
    <w:rsid w:val="009D19A1"/>
    <w:rsid w:val="009E5F65"/>
    <w:rsid w:val="00A012D3"/>
    <w:rsid w:val="00A31083"/>
    <w:rsid w:val="00A472B7"/>
    <w:rsid w:val="00A62794"/>
    <w:rsid w:val="00A90604"/>
    <w:rsid w:val="00AA247B"/>
    <w:rsid w:val="00AA3280"/>
    <w:rsid w:val="00AC01AA"/>
    <w:rsid w:val="00AC0C2C"/>
    <w:rsid w:val="00AC4D4F"/>
    <w:rsid w:val="00AC6F5F"/>
    <w:rsid w:val="00AF1441"/>
    <w:rsid w:val="00AF3AB9"/>
    <w:rsid w:val="00B06409"/>
    <w:rsid w:val="00B26A16"/>
    <w:rsid w:val="00B67E9B"/>
    <w:rsid w:val="00B85DB4"/>
    <w:rsid w:val="00B97865"/>
    <w:rsid w:val="00BA66A3"/>
    <w:rsid w:val="00BB77DA"/>
    <w:rsid w:val="00BE1F6B"/>
    <w:rsid w:val="00BE502D"/>
    <w:rsid w:val="00BF63E1"/>
    <w:rsid w:val="00BF7AD6"/>
    <w:rsid w:val="00C22CDD"/>
    <w:rsid w:val="00C335AB"/>
    <w:rsid w:val="00C36D92"/>
    <w:rsid w:val="00C4621D"/>
    <w:rsid w:val="00C54705"/>
    <w:rsid w:val="00C55E3D"/>
    <w:rsid w:val="00C6456F"/>
    <w:rsid w:val="00C67A2F"/>
    <w:rsid w:val="00C8110E"/>
    <w:rsid w:val="00CB79A8"/>
    <w:rsid w:val="00CD1390"/>
    <w:rsid w:val="00CE5A3B"/>
    <w:rsid w:val="00D228BA"/>
    <w:rsid w:val="00D57E6E"/>
    <w:rsid w:val="00D67115"/>
    <w:rsid w:val="00D75013"/>
    <w:rsid w:val="00D803E3"/>
    <w:rsid w:val="00D96269"/>
    <w:rsid w:val="00DB1495"/>
    <w:rsid w:val="00DB35CD"/>
    <w:rsid w:val="00DD2BD6"/>
    <w:rsid w:val="00DD3397"/>
    <w:rsid w:val="00DE03F8"/>
    <w:rsid w:val="00DE53A7"/>
    <w:rsid w:val="00DF45A2"/>
    <w:rsid w:val="00E07B74"/>
    <w:rsid w:val="00E41187"/>
    <w:rsid w:val="00E517BB"/>
    <w:rsid w:val="00E539E8"/>
    <w:rsid w:val="00E64AC8"/>
    <w:rsid w:val="00E749AB"/>
    <w:rsid w:val="00E9149E"/>
    <w:rsid w:val="00EE779A"/>
    <w:rsid w:val="00EF104D"/>
    <w:rsid w:val="00F0315A"/>
    <w:rsid w:val="00F044C0"/>
    <w:rsid w:val="00F12578"/>
    <w:rsid w:val="00F141E7"/>
    <w:rsid w:val="00F154AB"/>
    <w:rsid w:val="00F22330"/>
    <w:rsid w:val="00F3300B"/>
    <w:rsid w:val="00F3531C"/>
    <w:rsid w:val="00F740FD"/>
    <w:rsid w:val="00F758C6"/>
    <w:rsid w:val="00F769D9"/>
    <w:rsid w:val="00F81A02"/>
    <w:rsid w:val="00F91215"/>
    <w:rsid w:val="00F91CC2"/>
    <w:rsid w:val="00F94D05"/>
    <w:rsid w:val="00FA148E"/>
    <w:rsid w:val="00FA7DB5"/>
    <w:rsid w:val="00FC30AD"/>
    <w:rsid w:val="00FE3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6481D1"/>
  <w15:chartTrackingRefBased/>
  <w15:docId w15:val="{8C0DF8BA-57D8-498E-9641-4BAE91B6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4D05"/>
    <w:rPr>
      <w:color w:val="000000"/>
      <w:sz w:val="24"/>
      <w:szCs w:val="24"/>
    </w:rPr>
  </w:style>
  <w:style w:type="paragraph" w:styleId="berschrift1">
    <w:name w:val="heading 1"/>
    <w:basedOn w:val="Standard"/>
    <w:next w:val="Standard"/>
    <w:qFormat/>
    <w:rsid w:val="00F94D05"/>
    <w:pPr>
      <w:spacing w:before="360" w:after="360"/>
      <w:ind w:left="851" w:hanging="851"/>
      <w:jc w:val="both"/>
      <w:outlineLvl w:val="0"/>
    </w:pPr>
    <w:rPr>
      <w:rFonts w:ascii="Arial" w:eastAsia="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F94D05"/>
    <w:rPr>
      <w:sz w:val="16"/>
      <w:szCs w:val="16"/>
    </w:rPr>
  </w:style>
  <w:style w:type="paragraph" w:styleId="Kommentartext">
    <w:name w:val="annotation text"/>
    <w:basedOn w:val="Standard"/>
    <w:link w:val="KommentartextZchn"/>
    <w:semiHidden/>
    <w:rsid w:val="00F94D05"/>
    <w:rPr>
      <w:sz w:val="20"/>
      <w:szCs w:val="20"/>
    </w:rPr>
  </w:style>
  <w:style w:type="character" w:customStyle="1" w:styleId="KommentartextZchn">
    <w:name w:val="Kommentartext Zchn"/>
    <w:link w:val="Kommentartext"/>
    <w:locked/>
    <w:rsid w:val="00F94D05"/>
    <w:rPr>
      <w:color w:val="000000"/>
      <w:lang w:val="de-DE" w:eastAsia="de-DE" w:bidi="ar-SA"/>
    </w:rPr>
  </w:style>
  <w:style w:type="paragraph" w:styleId="Sprechblasentext">
    <w:name w:val="Balloon Text"/>
    <w:basedOn w:val="Standard"/>
    <w:semiHidden/>
    <w:rsid w:val="00F94D05"/>
    <w:rPr>
      <w:rFonts w:ascii="Tahoma" w:hAnsi="Tahoma" w:cs="Tahoma"/>
      <w:sz w:val="16"/>
      <w:szCs w:val="16"/>
    </w:rPr>
  </w:style>
  <w:style w:type="paragraph" w:styleId="Kommentarthema">
    <w:name w:val="annotation subject"/>
    <w:basedOn w:val="Kommentartext"/>
    <w:next w:val="Kommentartext"/>
    <w:semiHidden/>
    <w:rsid w:val="00992B87"/>
    <w:rPr>
      <w:b/>
      <w:bCs/>
    </w:rPr>
  </w:style>
  <w:style w:type="paragraph" w:styleId="berarbeitung">
    <w:name w:val="Revision"/>
    <w:hidden/>
    <w:uiPriority w:val="99"/>
    <w:semiHidden/>
    <w:rsid w:val="00E749AB"/>
    <w:rPr>
      <w:color w:val="000000"/>
      <w:sz w:val="24"/>
      <w:szCs w:val="24"/>
    </w:rPr>
  </w:style>
  <w:style w:type="paragraph" w:customStyle="1" w:styleId="Body">
    <w:name w:val="Body"/>
    <w:basedOn w:val="Standard"/>
    <w:link w:val="BodyChar"/>
    <w:uiPriority w:val="99"/>
    <w:rsid w:val="00E9149E"/>
    <w:pPr>
      <w:spacing w:after="140" w:line="290" w:lineRule="auto"/>
      <w:jc w:val="both"/>
    </w:pPr>
    <w:rPr>
      <w:rFonts w:ascii="Arial" w:hAnsi="Arial"/>
      <w:color w:val="auto"/>
      <w:kern w:val="20"/>
      <w:sz w:val="20"/>
      <w:lang w:eastAsia="en-US"/>
    </w:rPr>
  </w:style>
  <w:style w:type="paragraph" w:customStyle="1" w:styleId="Parties">
    <w:name w:val="Parties"/>
    <w:basedOn w:val="Standard"/>
    <w:uiPriority w:val="99"/>
    <w:rsid w:val="00E9149E"/>
    <w:pPr>
      <w:numPr>
        <w:numId w:val="1"/>
      </w:numPr>
      <w:spacing w:after="140" w:line="290" w:lineRule="auto"/>
      <w:jc w:val="both"/>
    </w:pPr>
    <w:rPr>
      <w:rFonts w:ascii="Arial" w:hAnsi="Arial"/>
      <w:color w:val="auto"/>
      <w:kern w:val="20"/>
      <w:sz w:val="20"/>
      <w:lang w:eastAsia="en-US"/>
    </w:rPr>
  </w:style>
  <w:style w:type="character" w:customStyle="1" w:styleId="BodyChar">
    <w:name w:val="Body Char"/>
    <w:link w:val="Body"/>
    <w:uiPriority w:val="99"/>
    <w:locked/>
    <w:rsid w:val="00E9149E"/>
    <w:rPr>
      <w:rFonts w:ascii="Arial" w:hAnsi="Arial"/>
      <w:kern w:val="20"/>
      <w:szCs w:val="24"/>
      <w:lang w:eastAsia="en-US"/>
    </w:rPr>
  </w:style>
  <w:style w:type="paragraph" w:styleId="Kopfzeile">
    <w:name w:val="header"/>
    <w:basedOn w:val="Standard"/>
    <w:link w:val="KopfzeileZchn"/>
    <w:uiPriority w:val="99"/>
    <w:rsid w:val="00E9149E"/>
    <w:pPr>
      <w:tabs>
        <w:tab w:val="center" w:pos="4536"/>
        <w:tab w:val="right" w:pos="9072"/>
      </w:tabs>
    </w:pPr>
  </w:style>
  <w:style w:type="character" w:customStyle="1" w:styleId="KopfzeileZchn">
    <w:name w:val="Kopfzeile Zchn"/>
    <w:link w:val="Kopfzeile"/>
    <w:uiPriority w:val="99"/>
    <w:rsid w:val="00E9149E"/>
    <w:rPr>
      <w:color w:val="000000"/>
      <w:sz w:val="24"/>
      <w:szCs w:val="24"/>
    </w:rPr>
  </w:style>
  <w:style w:type="paragraph" w:styleId="Fuzeile">
    <w:name w:val="footer"/>
    <w:basedOn w:val="Standard"/>
    <w:link w:val="FuzeileZchn"/>
    <w:uiPriority w:val="99"/>
    <w:rsid w:val="00E9149E"/>
    <w:pPr>
      <w:tabs>
        <w:tab w:val="center" w:pos="4536"/>
        <w:tab w:val="right" w:pos="9072"/>
      </w:tabs>
    </w:pPr>
  </w:style>
  <w:style w:type="character" w:customStyle="1" w:styleId="FuzeileZchn">
    <w:name w:val="Fußzeile Zchn"/>
    <w:link w:val="Fuzeile"/>
    <w:uiPriority w:val="99"/>
    <w:rsid w:val="00E9149E"/>
    <w:rPr>
      <w:color w:val="000000"/>
      <w:sz w:val="24"/>
      <w:szCs w:val="24"/>
    </w:rPr>
  </w:style>
  <w:style w:type="paragraph" w:customStyle="1" w:styleId="LinklatersHeader">
    <w:name w:val="Linklaters Header"/>
    <w:basedOn w:val="Standard"/>
    <w:uiPriority w:val="99"/>
    <w:rsid w:val="00E9149E"/>
    <w:rPr>
      <w:rFonts w:ascii="Arial" w:hAnsi="Arial"/>
      <w:color w:val="auto"/>
      <w:kern w:val="2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4EE97097E9DC47B202BBDDE380CFE4" ma:contentTypeVersion="0" ma:contentTypeDescription="Ein neues Dokument erstellen." ma:contentTypeScope="" ma:versionID="3c68ab1d572a4b790ed7b73317029c77">
  <xsd:schema xmlns:xsd="http://www.w3.org/2001/XMLSchema" xmlns:xs="http://www.w3.org/2001/XMLSchema" xmlns:p="http://schemas.microsoft.com/office/2006/metadata/properties" targetNamespace="http://schemas.microsoft.com/office/2006/metadata/properties" ma:root="true" ma:fieldsID="cf584695a2d4dcad0822f5c0b04fd8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45C50-F210-48B9-8991-835C230FF4DB}">
  <ds:schemaRefs>
    <ds:schemaRef ds:uri="http://schemas.microsoft.com/sharepoint/v3/contenttype/forms"/>
  </ds:schemaRefs>
</ds:datastoreItem>
</file>

<file path=customXml/itemProps2.xml><?xml version="1.0" encoding="utf-8"?>
<ds:datastoreItem xmlns:ds="http://schemas.openxmlformats.org/officeDocument/2006/customXml" ds:itemID="{A206CAEA-E4AB-4699-B142-E5D70E7FF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6DD1DF-EFE8-4695-B460-520E30BDB667}">
  <ds:schemaRefs>
    <ds:schemaRef ds:uri="http://schemas.openxmlformats.org/officeDocument/2006/bibliography"/>
  </ds:schemaRefs>
</ds:datastoreItem>
</file>

<file path=customXml/itemProps4.xml><?xml version="1.0" encoding="utf-8"?>
<ds:datastoreItem xmlns:ds="http://schemas.openxmlformats.org/officeDocument/2006/customXml" ds:itemID="{C391BC46-7003-4A1E-BB85-FBCFC228AE4B}">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11759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Anlage Vereinbarung beigefügte Vereinbarung über das besondere Verfahren für Erklärungen des Endkunden im Zusammenhang mit dem Anbieterwechsel und Rufnummernübertragung</vt:lpstr>
    </vt:vector>
  </TitlesOfParts>
  <Company>1&amp;1 Internet AG</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Vereinbarung beigefügte Vereinbarung über das besondere Verfahren für Erklärungen des Endkunden im Zusammenhang mit dem Anbieterwechsel und Rufnummernübertragung</dc:title>
  <dc:subject/>
  <dc:creator>Andre Rochlitzer</dc:creator>
  <cp:keywords/>
  <cp:lastModifiedBy>AKSP1 (André Rochlitzer)</cp:lastModifiedBy>
  <cp:revision>2</cp:revision>
  <cp:lastPrinted>2016-05-11T06:36:00Z</cp:lastPrinted>
  <dcterms:created xsi:type="dcterms:W3CDTF">2022-04-03T14:16:00Z</dcterms:created>
  <dcterms:modified xsi:type="dcterms:W3CDTF">2022-04-03T14:16:00Z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y fmtid="{D5CDD505-2E9C-101B-9397-08002B2CF9AE}" pid="3" name="ContentTypeId">
    <vt:lpwstr>0x010100B14EE97097E9DC47B202BBDDE380CFE4</vt:lpwstr>
  </property>
</Properties>
</file>