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6" w:type="dxa"/>
        <w:tblBorders>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328"/>
        <w:gridCol w:w="4758"/>
      </w:tblGrid>
      <w:tr w:rsidRPr="001C5276" w:rsidR="00EE439B" w:rsidTr="000A21DC" w14:paraId="48D4810F" w14:textId="77777777">
        <w:trPr>
          <w:trHeight w:val="340" w:hRule="exact"/>
        </w:trPr>
        <w:tc>
          <w:tcPr>
            <w:tcW w:w="9086" w:type="dxa"/>
            <w:gridSpan w:val="2"/>
            <w:tcBorders>
              <w:bottom w:val="nil"/>
            </w:tcBorders>
          </w:tcPr>
          <w:p w:rsidRPr="001C5276" w:rsidR="00EE439B" w:rsidP="000A21DC" w:rsidRDefault="00EE439B" w14:paraId="3BEB3171" w14:textId="77777777">
            <w:pPr>
              <w:pStyle w:val="zFSDraft"/>
            </w:pPr>
          </w:p>
        </w:tc>
      </w:tr>
      <w:tr w:rsidRPr="001C5276" w:rsidR="00EE439B" w:rsidTr="000A21DC" w14:paraId="7D7B30AE" w14:textId="77777777">
        <w:trPr>
          <w:trHeight w:val="851" w:hRule="exact"/>
        </w:trPr>
        <w:tc>
          <w:tcPr>
            <w:tcW w:w="9086" w:type="dxa"/>
            <w:gridSpan w:val="2"/>
            <w:tcBorders>
              <w:top w:val="nil"/>
              <w:bottom w:val="nil"/>
            </w:tcBorders>
          </w:tcPr>
          <w:p w:rsidRPr="001C5276" w:rsidR="00EE439B" w:rsidP="000A21DC" w:rsidRDefault="00EE439B" w14:paraId="1B680175" w14:textId="77777777">
            <w:pPr>
              <w:pStyle w:val="zFSDate"/>
            </w:pPr>
          </w:p>
          <w:p w:rsidRPr="001C5276" w:rsidR="00EE439B" w:rsidP="000A21DC" w:rsidRDefault="00EE439B" w14:paraId="000C934A" w14:textId="77777777">
            <w:pPr>
              <w:pStyle w:val="zFSDate"/>
            </w:pPr>
          </w:p>
        </w:tc>
      </w:tr>
      <w:tr w:rsidRPr="00B72C03" w:rsidR="00EE439B" w:rsidTr="000A21DC" w14:paraId="34F49E59" w14:textId="77777777">
        <w:trPr>
          <w:cantSplit/>
          <w:trHeight w:val="5284" w:hRule="exact"/>
        </w:trPr>
        <w:tc>
          <w:tcPr>
            <w:tcW w:w="9086" w:type="dxa"/>
            <w:gridSpan w:val="2"/>
            <w:tcBorders>
              <w:top w:val="nil"/>
              <w:bottom w:val="nil"/>
            </w:tcBorders>
            <w:vAlign w:val="center"/>
          </w:tcPr>
          <w:p w:rsidRPr="00B72C03" w:rsidR="00EE439B" w:rsidP="000A21DC" w:rsidRDefault="00EE439B" w14:paraId="7A078941" w14:textId="77777777">
            <w:pPr>
              <w:pStyle w:val="zFSco-names"/>
            </w:pPr>
            <w:r w:rsidRPr="00B72C03">
              <w:t>[Anbieter 1]</w:t>
            </w:r>
          </w:p>
          <w:p w:rsidRPr="00B72C03" w:rsidR="00EE439B" w:rsidP="000A21DC" w:rsidRDefault="00EE439B" w14:paraId="0E298ECF" w14:textId="77777777">
            <w:pPr>
              <w:pStyle w:val="zFSco-names"/>
            </w:pPr>
            <w:r w:rsidRPr="00B72C03">
              <w:t>[Anbieter 2]</w:t>
            </w:r>
          </w:p>
          <w:p w:rsidRPr="00B72C03" w:rsidR="00EE439B" w:rsidP="000A21DC" w:rsidRDefault="00EE439B" w14:paraId="6B5848FA" w14:textId="77777777">
            <w:pPr>
              <w:pStyle w:val="zFSand"/>
              <w:rPr>
                <w:kern w:val="24"/>
                <w:sz w:val="24"/>
              </w:rPr>
            </w:pPr>
          </w:p>
        </w:tc>
      </w:tr>
      <w:tr w:rsidRPr="00B72C03" w:rsidR="00EE439B" w:rsidTr="000A21DC" w14:paraId="140108AD" w14:textId="77777777">
        <w:trPr>
          <w:cantSplit/>
          <w:trHeight w:val="4321" w:hRule="exact"/>
        </w:trPr>
        <w:tc>
          <w:tcPr>
            <w:tcW w:w="9086" w:type="dxa"/>
            <w:gridSpan w:val="2"/>
            <w:tcBorders>
              <w:top w:val="nil"/>
              <w:bottom w:val="nil"/>
            </w:tcBorders>
          </w:tcPr>
          <w:p w:rsidRPr="00B72C03" w:rsidR="00EE439B" w:rsidP="000A21DC" w:rsidRDefault="00EE439B" w14:paraId="276B9C2B" w14:textId="77777777">
            <w:pPr>
              <w:pStyle w:val="zFSNarrative"/>
              <w:spacing w:before="120"/>
              <w:rPr>
                <w:sz w:val="28"/>
              </w:rPr>
            </w:pPr>
            <w:r w:rsidRPr="00B72C03">
              <w:rPr>
                <w:sz w:val="28"/>
              </w:rPr>
              <w:t>Vereinbarung zur Durchführung der Vorabstimmung</w:t>
            </w:r>
          </w:p>
          <w:p w:rsidRPr="00B72C03" w:rsidR="00EE439B" w:rsidP="00CD0D7E" w:rsidRDefault="00EE439B" w14:paraId="6652DD4F" w14:textId="77777777">
            <w:pPr>
              <w:pStyle w:val="zFSNarrative"/>
              <w:spacing w:before="120"/>
              <w:rPr>
                <w:b/>
                <w:sz w:val="24"/>
              </w:rPr>
            </w:pPr>
            <w:r w:rsidRPr="00B72C03">
              <w:rPr>
                <w:sz w:val="28"/>
              </w:rPr>
              <w:t>im Rahmen des Anbieterwechsels</w:t>
            </w:r>
          </w:p>
        </w:tc>
      </w:tr>
      <w:tr w:rsidRPr="00B72C03" w:rsidR="00EE439B" w:rsidTr="000A21DC" w14:paraId="3C1B3441" w14:textId="77777777">
        <w:trPr>
          <w:trHeight w:val="227" w:hRule="exact"/>
        </w:trPr>
        <w:tc>
          <w:tcPr>
            <w:tcW w:w="4328" w:type="dxa"/>
            <w:tcBorders>
              <w:top w:val="nil"/>
              <w:bottom w:val="nil"/>
              <w:right w:val="nil"/>
            </w:tcBorders>
          </w:tcPr>
          <w:p w:rsidRPr="00B72C03" w:rsidR="00EE439B" w:rsidP="000A21DC" w:rsidRDefault="00EE439B" w14:paraId="06B69AAF" w14:textId="77777777">
            <w:pPr>
              <w:spacing w:after="600"/>
            </w:pPr>
          </w:p>
        </w:tc>
        <w:tc>
          <w:tcPr>
            <w:tcW w:w="4758" w:type="dxa"/>
            <w:tcBorders>
              <w:top w:val="nil"/>
              <w:left w:val="nil"/>
              <w:bottom w:val="nil"/>
            </w:tcBorders>
          </w:tcPr>
          <w:p w:rsidRPr="00B72C03" w:rsidR="00EE439B" w:rsidP="000A21DC" w:rsidRDefault="00EE439B" w14:paraId="2658EA24" w14:textId="77777777">
            <w:r w:rsidRPr="00B72C03">
              <w:t xml:space="preserve"> </w:t>
            </w:r>
          </w:p>
        </w:tc>
      </w:tr>
      <w:tr w:rsidRPr="00B72C03" w:rsidR="00EE439B" w:rsidTr="000A21DC" w14:paraId="25BD25ED" w14:textId="77777777">
        <w:trPr>
          <w:trHeight w:val="397" w:hRule="exact"/>
        </w:trPr>
        <w:tc>
          <w:tcPr>
            <w:tcW w:w="4328" w:type="dxa"/>
            <w:tcBorders>
              <w:top w:val="nil"/>
              <w:bottom w:val="nil"/>
              <w:right w:val="nil"/>
            </w:tcBorders>
          </w:tcPr>
          <w:p w:rsidRPr="00B72C03" w:rsidR="00EE439B" w:rsidP="000A21DC" w:rsidRDefault="00EE439B" w14:paraId="7AB07EE5" w14:textId="77777777">
            <w:pPr>
              <w:rPr>
                <w:sz w:val="16"/>
              </w:rPr>
            </w:pPr>
            <w:bookmarkStart w:name="bmkLogoCaption" w:id="0"/>
            <w:bookmarkEnd w:id="0"/>
          </w:p>
        </w:tc>
        <w:tc>
          <w:tcPr>
            <w:tcW w:w="4758" w:type="dxa"/>
            <w:tcBorders>
              <w:top w:val="nil"/>
              <w:left w:val="nil"/>
              <w:bottom w:val="nil"/>
            </w:tcBorders>
          </w:tcPr>
          <w:p w:rsidRPr="00B72C03" w:rsidR="00EE439B" w:rsidP="000A21DC" w:rsidRDefault="00EE439B" w14:paraId="60011CDD" w14:textId="77777777">
            <w:pPr>
              <w:jc w:val="right"/>
            </w:pPr>
            <w:bookmarkStart w:name="bmkFirmLogoExtra" w:id="1"/>
            <w:r w:rsidRPr="00B72C03">
              <w:t xml:space="preserve"> </w:t>
            </w:r>
            <w:bookmarkEnd w:id="1"/>
          </w:p>
        </w:tc>
      </w:tr>
      <w:tr w:rsidRPr="00B72C03" w:rsidR="00EE439B" w:rsidTr="000A21DC" w14:paraId="6C9F7517" w14:textId="77777777">
        <w:trPr>
          <w:trHeight w:val="1304" w:hRule="exact"/>
        </w:trPr>
        <w:tc>
          <w:tcPr>
            <w:tcW w:w="4328" w:type="dxa"/>
            <w:tcBorders>
              <w:top w:val="nil"/>
              <w:bottom w:val="nil"/>
              <w:right w:val="nil"/>
            </w:tcBorders>
          </w:tcPr>
          <w:p w:rsidRPr="00B72C03" w:rsidR="00EE439B" w:rsidP="000A21DC" w:rsidRDefault="00EE439B" w14:paraId="6464AE31" w14:textId="77777777">
            <w:pPr>
              <w:pStyle w:val="zFSAddress"/>
            </w:pPr>
          </w:p>
        </w:tc>
        <w:tc>
          <w:tcPr>
            <w:tcW w:w="4758" w:type="dxa"/>
            <w:tcBorders>
              <w:top w:val="nil"/>
              <w:left w:val="nil"/>
              <w:bottom w:val="nil"/>
            </w:tcBorders>
          </w:tcPr>
          <w:p w:rsidRPr="00B72C03" w:rsidR="00EE439B" w:rsidP="000A21DC" w:rsidRDefault="00EE439B" w14:paraId="057B7761" w14:textId="77777777">
            <w:pPr>
              <w:pStyle w:val="zFSAddress"/>
            </w:pPr>
            <w:bookmarkStart w:name="bmkAddressTwo" w:id="2"/>
            <w:bookmarkEnd w:id="2"/>
          </w:p>
        </w:tc>
      </w:tr>
      <w:tr w:rsidRPr="00B72C03" w:rsidR="00EE439B" w:rsidTr="000A21DC" w14:paraId="573A72F2" w14:textId="77777777">
        <w:trPr>
          <w:cantSplit/>
          <w:trHeight w:val="340" w:hRule="exact"/>
        </w:trPr>
        <w:tc>
          <w:tcPr>
            <w:tcW w:w="4328" w:type="dxa"/>
            <w:tcBorders>
              <w:top w:val="nil"/>
              <w:bottom w:val="nil"/>
              <w:right w:val="nil"/>
            </w:tcBorders>
          </w:tcPr>
          <w:p w:rsidRPr="00B72C03" w:rsidR="00EE439B" w:rsidP="000A21DC" w:rsidRDefault="00EE439B" w14:paraId="3C5BDDAE" w14:textId="77777777">
            <w:pPr>
              <w:pStyle w:val="zFSTel"/>
            </w:pPr>
          </w:p>
        </w:tc>
        <w:tc>
          <w:tcPr>
            <w:tcW w:w="4758" w:type="dxa"/>
            <w:tcBorders>
              <w:top w:val="nil"/>
              <w:left w:val="nil"/>
              <w:bottom w:val="nil"/>
            </w:tcBorders>
          </w:tcPr>
          <w:p w:rsidRPr="00B72C03" w:rsidR="00EE439B" w:rsidP="000A21DC" w:rsidRDefault="00EE439B" w14:paraId="2B542C76" w14:textId="77777777">
            <w:pPr>
              <w:pStyle w:val="zFSTel"/>
            </w:pPr>
            <w:bookmarkStart w:name="bmkTelephoneTwo" w:id="3"/>
            <w:bookmarkEnd w:id="3"/>
          </w:p>
        </w:tc>
      </w:tr>
      <w:tr w:rsidRPr="00B72C03" w:rsidR="00EE439B" w:rsidTr="000A21DC" w14:paraId="1187FB15" w14:textId="77777777">
        <w:trPr>
          <w:cantSplit/>
          <w:trHeight w:val="227" w:hRule="exact"/>
        </w:trPr>
        <w:tc>
          <w:tcPr>
            <w:tcW w:w="4328" w:type="dxa"/>
            <w:tcBorders>
              <w:top w:val="nil"/>
              <w:bottom w:val="nil"/>
              <w:right w:val="nil"/>
            </w:tcBorders>
          </w:tcPr>
          <w:p w:rsidRPr="00B72C03" w:rsidR="00EE439B" w:rsidP="000A21DC" w:rsidRDefault="00EE439B" w14:paraId="7858A413" w14:textId="77777777">
            <w:pPr>
              <w:pStyle w:val="zFSFax"/>
            </w:pPr>
          </w:p>
        </w:tc>
        <w:tc>
          <w:tcPr>
            <w:tcW w:w="4758" w:type="dxa"/>
            <w:tcBorders>
              <w:top w:val="nil"/>
              <w:left w:val="nil"/>
              <w:bottom w:val="nil"/>
            </w:tcBorders>
          </w:tcPr>
          <w:p w:rsidRPr="00B72C03" w:rsidR="00EE439B" w:rsidP="000A21DC" w:rsidRDefault="00EE439B" w14:paraId="7B9B57E6" w14:textId="77777777">
            <w:pPr>
              <w:pStyle w:val="zFSFax"/>
            </w:pPr>
            <w:bookmarkStart w:name="bmkFaxTwo" w:id="4"/>
            <w:bookmarkEnd w:id="4"/>
          </w:p>
        </w:tc>
      </w:tr>
      <w:tr w:rsidRPr="00B72C03" w:rsidR="00EE439B" w:rsidTr="000A21DC" w14:paraId="66769334" w14:textId="77777777">
        <w:trPr>
          <w:cantSplit/>
          <w:trHeight w:val="227" w:hRule="exact"/>
        </w:trPr>
        <w:tc>
          <w:tcPr>
            <w:tcW w:w="4328" w:type="dxa"/>
            <w:tcBorders>
              <w:top w:val="nil"/>
              <w:bottom w:val="nil"/>
              <w:right w:val="nil"/>
            </w:tcBorders>
          </w:tcPr>
          <w:p w:rsidRPr="00B72C03" w:rsidR="00EE439B" w:rsidP="000A21DC" w:rsidRDefault="00EE439B" w14:paraId="28B81718" w14:textId="77777777"/>
        </w:tc>
        <w:tc>
          <w:tcPr>
            <w:tcW w:w="4758" w:type="dxa"/>
            <w:tcBorders>
              <w:top w:val="nil"/>
              <w:left w:val="nil"/>
              <w:bottom w:val="nil"/>
            </w:tcBorders>
          </w:tcPr>
          <w:p w:rsidRPr="00B72C03" w:rsidR="00EE439B" w:rsidP="000A21DC" w:rsidRDefault="00EE439B" w14:paraId="395AAB9E" w14:textId="77777777"/>
        </w:tc>
      </w:tr>
      <w:tr w:rsidRPr="00B72C03" w:rsidR="00EE439B" w:rsidTr="000A21DC" w14:paraId="22ED8F5E" w14:textId="77777777">
        <w:trPr>
          <w:cantSplit/>
          <w:trHeight w:val="227" w:hRule="exact"/>
        </w:trPr>
        <w:tc>
          <w:tcPr>
            <w:tcW w:w="4328" w:type="dxa"/>
            <w:tcBorders>
              <w:top w:val="nil"/>
              <w:bottom w:val="nil"/>
              <w:right w:val="nil"/>
            </w:tcBorders>
          </w:tcPr>
          <w:p w:rsidRPr="00B72C03" w:rsidR="00EE439B" w:rsidP="000A21DC" w:rsidRDefault="00EE439B" w14:paraId="6DFA24AE" w14:textId="77777777">
            <w:pPr>
              <w:pStyle w:val="zSFRef"/>
            </w:pPr>
          </w:p>
        </w:tc>
        <w:tc>
          <w:tcPr>
            <w:tcW w:w="4758" w:type="dxa"/>
            <w:tcBorders>
              <w:top w:val="nil"/>
              <w:left w:val="nil"/>
              <w:bottom w:val="nil"/>
            </w:tcBorders>
          </w:tcPr>
          <w:p w:rsidRPr="00B72C03" w:rsidR="00EE439B" w:rsidP="000A21DC" w:rsidRDefault="00EE439B" w14:paraId="305E0B8B" w14:textId="77777777">
            <w:pPr>
              <w:pStyle w:val="zSFRef"/>
            </w:pPr>
            <w:bookmarkStart w:name="bmkRefTwo" w:id="5"/>
            <w:bookmarkEnd w:id="5"/>
          </w:p>
        </w:tc>
      </w:tr>
    </w:tbl>
    <w:p w:rsidRPr="00B72C03" w:rsidR="00EE439B" w:rsidP="000A21DC" w:rsidRDefault="00EE439B" w14:paraId="0EA1C1A6" w14:textId="77777777">
      <w:pPr>
        <w:sectPr w:rsidRPr="00B72C03" w:rsidR="00EE439B">
          <w:headerReference w:type="default" r:id="rId10"/>
          <w:pgSz w:w="11907" w:h="16839" w:orient="portrait" w:code="9"/>
          <w:pgMar w:top="1701" w:right="1588" w:bottom="1304" w:left="1588" w:header="765" w:footer="482" w:gutter="0"/>
          <w:paperSrc w:first="15" w:other="15"/>
          <w:pgNumType w:start="0"/>
          <w:cols w:space="708"/>
          <w:docGrid w:linePitch="360"/>
        </w:sectPr>
      </w:pPr>
    </w:p>
    <w:p w:rsidRPr="00B72C03" w:rsidR="00EE439B" w:rsidP="000A21DC" w:rsidRDefault="00EE439B" w14:paraId="6E8EAF21" w14:textId="77777777">
      <w:pPr>
        <w:pStyle w:val="Head"/>
        <w:jc w:val="center"/>
      </w:pPr>
      <w:r w:rsidRPr="00B72C03">
        <w:lastRenderedPageBreak/>
        <w:t>Vereinbarung zur Durchführung der Vorabstimmung</w:t>
      </w:r>
    </w:p>
    <w:p w:rsidRPr="00B72C03" w:rsidR="00EE439B" w:rsidP="000A21DC" w:rsidRDefault="00EE439B" w14:paraId="72E17D2C" w14:textId="77777777">
      <w:pPr>
        <w:pStyle w:val="Head"/>
        <w:jc w:val="center"/>
      </w:pPr>
      <w:r w:rsidRPr="00B72C03">
        <w:t>im Rahmen des Anbieterwechsels</w:t>
      </w:r>
    </w:p>
    <w:p w:rsidRPr="00B72C03" w:rsidR="00EE439B" w:rsidP="0087514D" w:rsidRDefault="00EE439B" w14:paraId="4F8BE84F" w14:textId="77777777">
      <w:pPr>
        <w:pStyle w:val="Head"/>
        <w:jc w:val="center"/>
      </w:pPr>
      <w:r w:rsidRPr="00B72C03">
        <w:t>(„Vereinbarung Vorabstimmung“)</w:t>
      </w:r>
    </w:p>
    <w:p w:rsidRPr="00B72C03" w:rsidR="00EE439B" w:rsidP="000A21DC" w:rsidRDefault="00EE439B" w14:paraId="455C0B1F" w14:textId="77777777">
      <w:pPr>
        <w:pStyle w:val="Body"/>
        <w:jc w:val="center"/>
      </w:pPr>
      <w:r w:rsidRPr="00B72C03">
        <w:t>zwischen</w:t>
      </w:r>
    </w:p>
    <w:p w:rsidRPr="00B72C03" w:rsidR="00EE439B" w:rsidP="000A21DC" w:rsidRDefault="00EE439B" w14:paraId="772377BB" w14:textId="77777777">
      <w:pPr>
        <w:pStyle w:val="Body"/>
      </w:pPr>
    </w:p>
    <w:p w:rsidRPr="00B72C03" w:rsidR="00EE439B" w:rsidP="000A21DC" w:rsidRDefault="00EE439B" w14:paraId="26B5281D" w14:textId="77777777">
      <w:pPr>
        <w:pStyle w:val="Parties"/>
        <w:jc w:val="left"/>
      </w:pPr>
      <w:r w:rsidRPr="00B72C03">
        <w:rPr>
          <w:b/>
        </w:rPr>
        <w:t>[Anbieter 1]</w:t>
      </w:r>
      <w:r w:rsidRPr="00B72C03">
        <w:br/>
      </w:r>
      <w:r w:rsidRPr="00B72C03">
        <w:t>[Straße]</w:t>
      </w:r>
      <w:r w:rsidRPr="00B72C03">
        <w:br/>
      </w:r>
      <w:r w:rsidRPr="00B72C03">
        <w:t>[Ort]</w:t>
      </w:r>
    </w:p>
    <w:p w:rsidRPr="00B72C03" w:rsidR="00EE439B" w:rsidP="000A21DC" w:rsidRDefault="00EE439B" w14:paraId="0ED098A9" w14:textId="77777777">
      <w:pPr>
        <w:pStyle w:val="Body"/>
        <w:jc w:val="right"/>
      </w:pPr>
      <w:r w:rsidRPr="00B72C03">
        <w:t xml:space="preserve">- im Folgenden </w:t>
      </w:r>
      <w:r w:rsidRPr="00B72C03">
        <w:rPr>
          <w:b/>
        </w:rPr>
        <w:t>“[Name Anbieter 1]”</w:t>
      </w:r>
      <w:r w:rsidRPr="00B72C03">
        <w:t xml:space="preserve"> -</w:t>
      </w:r>
    </w:p>
    <w:p w:rsidRPr="00B72C03" w:rsidR="00EE439B" w:rsidP="000A21DC" w:rsidRDefault="00EE439B" w14:paraId="737D40BE" w14:textId="77777777">
      <w:pPr>
        <w:pStyle w:val="Body"/>
      </w:pPr>
    </w:p>
    <w:p w:rsidRPr="00B72C03" w:rsidR="00EE439B" w:rsidP="000A21DC" w:rsidRDefault="00EE439B" w14:paraId="27299F74" w14:textId="77777777">
      <w:pPr>
        <w:pStyle w:val="Body"/>
      </w:pPr>
      <w:r w:rsidRPr="00B72C03">
        <w:t>und</w:t>
      </w:r>
    </w:p>
    <w:p w:rsidRPr="00B72C03" w:rsidR="00EE439B" w:rsidP="000A21DC" w:rsidRDefault="00EE439B" w14:paraId="02D6E44F" w14:textId="77777777">
      <w:pPr>
        <w:pStyle w:val="Body"/>
      </w:pPr>
    </w:p>
    <w:p w:rsidRPr="00B72C03" w:rsidR="00EE439B" w:rsidP="000A21DC" w:rsidRDefault="00EE439B" w14:paraId="090162E6" w14:textId="77777777">
      <w:pPr>
        <w:pStyle w:val="Parties"/>
        <w:jc w:val="left"/>
      </w:pPr>
      <w:r w:rsidRPr="00B72C03">
        <w:rPr>
          <w:b/>
        </w:rPr>
        <w:t>[Anbieter 2]</w:t>
      </w:r>
      <w:r w:rsidRPr="00B72C03">
        <w:br/>
      </w:r>
      <w:r w:rsidRPr="00B72C03">
        <w:t>[Straße]</w:t>
      </w:r>
      <w:r w:rsidRPr="00B72C03">
        <w:br/>
      </w:r>
      <w:r w:rsidRPr="00B72C03">
        <w:t>[Ort]</w:t>
      </w:r>
    </w:p>
    <w:p w:rsidRPr="00B72C03" w:rsidR="00EE439B" w:rsidP="000A21DC" w:rsidRDefault="00EE439B" w14:paraId="153BCDE1" w14:textId="77777777">
      <w:pPr>
        <w:pStyle w:val="Body"/>
        <w:jc w:val="right"/>
      </w:pPr>
      <w:r w:rsidRPr="00B72C03">
        <w:t xml:space="preserve">- im Folgenden </w:t>
      </w:r>
      <w:r w:rsidRPr="00B72C03">
        <w:rPr>
          <w:b/>
        </w:rPr>
        <w:t>“[Name Anbieter 2]”</w:t>
      </w:r>
      <w:r w:rsidRPr="00B72C03">
        <w:t xml:space="preserve"> -</w:t>
      </w:r>
    </w:p>
    <w:p w:rsidRPr="00B72C03" w:rsidR="00EE439B" w:rsidP="000A21DC" w:rsidRDefault="00EE439B" w14:paraId="3255DD50" w14:textId="77777777">
      <w:pPr>
        <w:pStyle w:val="Body"/>
        <w:jc w:val="right"/>
      </w:pPr>
    </w:p>
    <w:p w:rsidRPr="00B72C03" w:rsidR="00EE439B" w:rsidP="000A21DC" w:rsidRDefault="00EE439B" w14:paraId="23181394" w14:textId="5CA302AC">
      <w:pPr>
        <w:pStyle w:val="Body"/>
        <w:jc w:val="right"/>
      </w:pPr>
      <w:r w:rsidRPr="00B72C03">
        <w:t xml:space="preserve">- [Name Anbieter 1] und [Anbieter 2] im Folgenden einzeln </w:t>
      </w:r>
      <w:r w:rsidRPr="00B72C03">
        <w:rPr>
          <w:b/>
        </w:rPr>
        <w:t>“Vertragspartei”</w:t>
      </w:r>
      <w:r w:rsidRPr="00B72C03">
        <w:rPr>
          <w:b/>
        </w:rPr>
        <w:br/>
      </w:r>
      <w:r w:rsidRPr="00B72C03">
        <w:t xml:space="preserve">und gemeinsam </w:t>
      </w:r>
      <w:r w:rsidRPr="00B72C03">
        <w:rPr>
          <w:b/>
        </w:rPr>
        <w:t>“Vertragsparteien”</w:t>
      </w:r>
      <w:r w:rsidRPr="00B72C03">
        <w:t xml:space="preserve"> –</w:t>
      </w:r>
    </w:p>
    <w:p w:rsidRPr="00B72C03" w:rsidR="00EE439B" w:rsidP="000A21DC" w:rsidRDefault="00EE439B" w14:paraId="6DB3D7DD" w14:textId="77777777">
      <w:pPr>
        <w:pStyle w:val="Head"/>
      </w:pPr>
      <w:r w:rsidRPr="00B72C03">
        <w:br w:type="page"/>
      </w:r>
      <w:r w:rsidRPr="00B72C03">
        <w:lastRenderedPageBreak/>
        <w:t>Inhalt</w:t>
      </w:r>
    </w:p>
    <w:p w:rsidRPr="00B72C03" w:rsidR="00EE439B" w:rsidP="000A21DC" w:rsidRDefault="00EE439B" w14:paraId="276D193C" w14:textId="77777777">
      <w:pPr>
        <w:pStyle w:val="Body"/>
      </w:pPr>
    </w:p>
    <w:p w:rsidRPr="00B72C03" w:rsidR="0048355A" w:rsidRDefault="00EE439B" w14:paraId="5BA9DD3D" w14:textId="77777777">
      <w:pPr>
        <w:pStyle w:val="Verzeichnis1"/>
        <w:tabs>
          <w:tab w:val="right" w:leader="dot" w:pos="8721"/>
        </w:tabs>
        <w:rPr>
          <w:rFonts w:asciiTheme="minorHAnsi" w:hAnsiTheme="minorHAnsi" w:eastAsiaTheme="minorEastAsia" w:cstheme="minorBidi"/>
          <w:noProof/>
          <w:kern w:val="0"/>
          <w:sz w:val="22"/>
          <w:szCs w:val="22"/>
          <w:lang w:eastAsia="de-DE"/>
        </w:rPr>
      </w:pPr>
      <w:r w:rsidRPr="00B72C03">
        <w:fldChar w:fldCharType="begin"/>
      </w:r>
      <w:r w:rsidRPr="00B72C03">
        <w:instrText xml:space="preserve"> TOC \o "1-1" \h \z </w:instrText>
      </w:r>
      <w:r w:rsidRPr="00B72C03">
        <w:fldChar w:fldCharType="separate"/>
      </w:r>
      <w:hyperlink w:history="1" w:anchor="_Toc25915298">
        <w:r w:rsidRPr="00B72C03" w:rsidR="0048355A">
          <w:rPr>
            <w:rStyle w:val="Hyperlink"/>
            <w:noProof/>
          </w:rPr>
          <w:t>1</w:t>
        </w:r>
        <w:r w:rsidRPr="00B72C03" w:rsidR="0048355A">
          <w:rPr>
            <w:rFonts w:asciiTheme="minorHAnsi" w:hAnsiTheme="minorHAnsi" w:eastAsiaTheme="minorEastAsia" w:cstheme="minorBidi"/>
            <w:noProof/>
            <w:kern w:val="0"/>
            <w:sz w:val="22"/>
            <w:szCs w:val="22"/>
            <w:lang w:eastAsia="de-DE"/>
          </w:rPr>
          <w:tab/>
        </w:r>
        <w:r w:rsidRPr="00B72C03" w:rsidR="0048355A">
          <w:rPr>
            <w:rStyle w:val="Hyperlink"/>
            <w:noProof/>
          </w:rPr>
          <w:t>Gegenstand der Vereinbarung</w:t>
        </w:r>
        <w:r w:rsidRPr="00B72C03" w:rsidR="0048355A">
          <w:rPr>
            <w:noProof/>
            <w:webHidden/>
          </w:rPr>
          <w:tab/>
        </w:r>
        <w:r w:rsidRPr="00B72C03" w:rsidR="0048355A">
          <w:rPr>
            <w:noProof/>
            <w:webHidden/>
          </w:rPr>
          <w:fldChar w:fldCharType="begin"/>
        </w:r>
        <w:r w:rsidRPr="00B72C03" w:rsidR="0048355A">
          <w:rPr>
            <w:noProof/>
            <w:webHidden/>
          </w:rPr>
          <w:instrText xml:space="preserve"> PAGEREF _Toc25915298 \h </w:instrText>
        </w:r>
        <w:r w:rsidRPr="00B72C03" w:rsidR="0048355A">
          <w:rPr>
            <w:noProof/>
            <w:webHidden/>
          </w:rPr>
        </w:r>
        <w:r w:rsidRPr="00B72C03" w:rsidR="0048355A">
          <w:rPr>
            <w:noProof/>
            <w:webHidden/>
          </w:rPr>
          <w:fldChar w:fldCharType="separate"/>
        </w:r>
        <w:r w:rsidRPr="00B72C03" w:rsidR="0048355A">
          <w:rPr>
            <w:noProof/>
            <w:webHidden/>
          </w:rPr>
          <w:t>4</w:t>
        </w:r>
        <w:r w:rsidRPr="00B72C03" w:rsidR="0048355A">
          <w:rPr>
            <w:noProof/>
            <w:webHidden/>
          </w:rPr>
          <w:fldChar w:fldCharType="end"/>
        </w:r>
      </w:hyperlink>
    </w:p>
    <w:p w:rsidRPr="00B72C03" w:rsidR="0048355A" w:rsidRDefault="00570AE7" w14:paraId="1E9949D9" w14:textId="77777777">
      <w:pPr>
        <w:pStyle w:val="Verzeichnis1"/>
        <w:tabs>
          <w:tab w:val="right" w:leader="dot" w:pos="8721"/>
        </w:tabs>
        <w:rPr>
          <w:rFonts w:asciiTheme="minorHAnsi" w:hAnsiTheme="minorHAnsi" w:eastAsiaTheme="minorEastAsia" w:cstheme="minorBidi"/>
          <w:noProof/>
          <w:kern w:val="0"/>
          <w:sz w:val="22"/>
          <w:szCs w:val="22"/>
          <w:lang w:eastAsia="de-DE"/>
        </w:rPr>
      </w:pPr>
      <w:hyperlink w:history="1" w:anchor="_Toc25915299">
        <w:r w:rsidRPr="00B72C03" w:rsidR="0048355A">
          <w:rPr>
            <w:rStyle w:val="Hyperlink"/>
            <w:noProof/>
          </w:rPr>
          <w:t>2</w:t>
        </w:r>
        <w:r w:rsidRPr="00B72C03" w:rsidR="0048355A">
          <w:rPr>
            <w:rFonts w:asciiTheme="minorHAnsi" w:hAnsiTheme="minorHAnsi" w:eastAsiaTheme="minorEastAsia" w:cstheme="minorBidi"/>
            <w:noProof/>
            <w:kern w:val="0"/>
            <w:sz w:val="22"/>
            <w:szCs w:val="22"/>
            <w:lang w:eastAsia="de-DE"/>
          </w:rPr>
          <w:tab/>
        </w:r>
        <w:r w:rsidRPr="00B72C03" w:rsidR="0048355A">
          <w:rPr>
            <w:rStyle w:val="Hyperlink"/>
            <w:noProof/>
          </w:rPr>
          <w:t>Vorabstimmung</w:t>
        </w:r>
        <w:r w:rsidRPr="00B72C03" w:rsidR="0048355A">
          <w:rPr>
            <w:noProof/>
            <w:webHidden/>
          </w:rPr>
          <w:tab/>
        </w:r>
        <w:r w:rsidRPr="00B72C03" w:rsidR="0048355A">
          <w:rPr>
            <w:noProof/>
            <w:webHidden/>
          </w:rPr>
          <w:fldChar w:fldCharType="begin"/>
        </w:r>
        <w:r w:rsidRPr="00B72C03" w:rsidR="0048355A">
          <w:rPr>
            <w:noProof/>
            <w:webHidden/>
          </w:rPr>
          <w:instrText xml:space="preserve"> PAGEREF _Toc25915299 \h </w:instrText>
        </w:r>
        <w:r w:rsidRPr="00B72C03" w:rsidR="0048355A">
          <w:rPr>
            <w:noProof/>
            <w:webHidden/>
          </w:rPr>
        </w:r>
        <w:r w:rsidRPr="00B72C03" w:rsidR="0048355A">
          <w:rPr>
            <w:noProof/>
            <w:webHidden/>
          </w:rPr>
          <w:fldChar w:fldCharType="separate"/>
        </w:r>
        <w:r w:rsidRPr="00B72C03" w:rsidR="0048355A">
          <w:rPr>
            <w:noProof/>
            <w:webHidden/>
          </w:rPr>
          <w:t>4</w:t>
        </w:r>
        <w:r w:rsidRPr="00B72C03" w:rsidR="0048355A">
          <w:rPr>
            <w:noProof/>
            <w:webHidden/>
          </w:rPr>
          <w:fldChar w:fldCharType="end"/>
        </w:r>
      </w:hyperlink>
    </w:p>
    <w:p w:rsidRPr="00B72C03" w:rsidR="0048355A" w:rsidRDefault="00570AE7" w14:paraId="79B2D7C1" w14:textId="77777777">
      <w:pPr>
        <w:pStyle w:val="Verzeichnis1"/>
        <w:tabs>
          <w:tab w:val="right" w:leader="dot" w:pos="8721"/>
        </w:tabs>
        <w:rPr>
          <w:rFonts w:asciiTheme="minorHAnsi" w:hAnsiTheme="minorHAnsi" w:eastAsiaTheme="minorEastAsia" w:cstheme="minorBidi"/>
          <w:noProof/>
          <w:kern w:val="0"/>
          <w:sz w:val="22"/>
          <w:szCs w:val="22"/>
          <w:lang w:eastAsia="de-DE"/>
        </w:rPr>
      </w:pPr>
      <w:hyperlink w:history="1" w:anchor="_Toc25915300">
        <w:r w:rsidRPr="00B72C03" w:rsidR="0048355A">
          <w:rPr>
            <w:rStyle w:val="Hyperlink"/>
            <w:noProof/>
          </w:rPr>
          <w:t>3</w:t>
        </w:r>
        <w:r w:rsidRPr="00B72C03" w:rsidR="0048355A">
          <w:rPr>
            <w:rFonts w:asciiTheme="minorHAnsi" w:hAnsiTheme="minorHAnsi" w:eastAsiaTheme="minorEastAsia" w:cstheme="minorBidi"/>
            <w:noProof/>
            <w:kern w:val="0"/>
            <w:sz w:val="22"/>
            <w:szCs w:val="22"/>
            <w:lang w:eastAsia="de-DE"/>
          </w:rPr>
          <w:tab/>
        </w:r>
        <w:r w:rsidRPr="00B72C03" w:rsidR="0048355A">
          <w:rPr>
            <w:rStyle w:val="Hyperlink"/>
            <w:rFonts w:cs="Arial"/>
            <w:noProof/>
          </w:rPr>
          <w:t>Prozess für Vorabstimmungsanfrage bei Eigenkündigung des Endkunden</w:t>
        </w:r>
        <w:r w:rsidRPr="00B72C03" w:rsidR="0048355A">
          <w:rPr>
            <w:noProof/>
            <w:webHidden/>
          </w:rPr>
          <w:tab/>
        </w:r>
        <w:r w:rsidRPr="00B72C03" w:rsidR="0048355A">
          <w:rPr>
            <w:noProof/>
            <w:webHidden/>
          </w:rPr>
          <w:fldChar w:fldCharType="begin"/>
        </w:r>
        <w:r w:rsidRPr="00B72C03" w:rsidR="0048355A">
          <w:rPr>
            <w:noProof/>
            <w:webHidden/>
          </w:rPr>
          <w:instrText xml:space="preserve"> PAGEREF _Toc25915300 \h </w:instrText>
        </w:r>
        <w:r w:rsidRPr="00B72C03" w:rsidR="0048355A">
          <w:rPr>
            <w:noProof/>
            <w:webHidden/>
          </w:rPr>
        </w:r>
        <w:r w:rsidRPr="00B72C03" w:rsidR="0048355A">
          <w:rPr>
            <w:noProof/>
            <w:webHidden/>
          </w:rPr>
          <w:fldChar w:fldCharType="separate"/>
        </w:r>
        <w:r w:rsidRPr="00B72C03" w:rsidR="0048355A">
          <w:rPr>
            <w:noProof/>
            <w:webHidden/>
          </w:rPr>
          <w:t>6</w:t>
        </w:r>
        <w:r w:rsidRPr="00B72C03" w:rsidR="0048355A">
          <w:rPr>
            <w:noProof/>
            <w:webHidden/>
          </w:rPr>
          <w:fldChar w:fldCharType="end"/>
        </w:r>
      </w:hyperlink>
    </w:p>
    <w:p w:rsidRPr="00B72C03" w:rsidR="0048355A" w:rsidRDefault="00570AE7" w14:paraId="5D0C03B8" w14:textId="77777777">
      <w:pPr>
        <w:pStyle w:val="Verzeichnis1"/>
        <w:tabs>
          <w:tab w:val="right" w:leader="dot" w:pos="8721"/>
        </w:tabs>
        <w:rPr>
          <w:rFonts w:asciiTheme="minorHAnsi" w:hAnsiTheme="minorHAnsi" w:eastAsiaTheme="minorEastAsia" w:cstheme="minorBidi"/>
          <w:noProof/>
          <w:kern w:val="0"/>
          <w:sz w:val="22"/>
          <w:szCs w:val="22"/>
          <w:lang w:eastAsia="de-DE"/>
        </w:rPr>
      </w:pPr>
      <w:hyperlink w:history="1" w:anchor="_Toc25915301">
        <w:r w:rsidRPr="00B72C03" w:rsidR="0048355A">
          <w:rPr>
            <w:rStyle w:val="Hyperlink"/>
            <w:noProof/>
          </w:rPr>
          <w:t>4</w:t>
        </w:r>
        <w:r w:rsidRPr="00B72C03" w:rsidR="0048355A">
          <w:rPr>
            <w:rFonts w:asciiTheme="minorHAnsi" w:hAnsiTheme="minorHAnsi" w:eastAsiaTheme="minorEastAsia" w:cstheme="minorBidi"/>
            <w:noProof/>
            <w:kern w:val="0"/>
            <w:sz w:val="22"/>
            <w:szCs w:val="22"/>
            <w:lang w:eastAsia="de-DE"/>
          </w:rPr>
          <w:tab/>
        </w:r>
        <w:r w:rsidRPr="00B72C03" w:rsidR="0048355A">
          <w:rPr>
            <w:rStyle w:val="Hyperlink"/>
            <w:noProof/>
          </w:rPr>
          <w:t>Aufhebung oder Änderung des positiven Vorabstimmungsergebnisses oder einer Vorabstimmungsanfrage</w:t>
        </w:r>
        <w:r w:rsidRPr="00B72C03" w:rsidR="0048355A">
          <w:rPr>
            <w:noProof/>
            <w:webHidden/>
          </w:rPr>
          <w:tab/>
        </w:r>
        <w:r w:rsidRPr="00B72C03" w:rsidR="0048355A">
          <w:rPr>
            <w:noProof/>
            <w:webHidden/>
          </w:rPr>
          <w:fldChar w:fldCharType="begin"/>
        </w:r>
        <w:r w:rsidRPr="00B72C03" w:rsidR="0048355A">
          <w:rPr>
            <w:noProof/>
            <w:webHidden/>
          </w:rPr>
          <w:instrText xml:space="preserve"> PAGEREF _Toc25915301 \h </w:instrText>
        </w:r>
        <w:r w:rsidRPr="00B72C03" w:rsidR="0048355A">
          <w:rPr>
            <w:noProof/>
            <w:webHidden/>
          </w:rPr>
        </w:r>
        <w:r w:rsidRPr="00B72C03" w:rsidR="0048355A">
          <w:rPr>
            <w:noProof/>
            <w:webHidden/>
          </w:rPr>
          <w:fldChar w:fldCharType="separate"/>
        </w:r>
        <w:r w:rsidRPr="00B72C03" w:rsidR="0048355A">
          <w:rPr>
            <w:noProof/>
            <w:webHidden/>
          </w:rPr>
          <w:t>7</w:t>
        </w:r>
        <w:r w:rsidRPr="00B72C03" w:rsidR="0048355A">
          <w:rPr>
            <w:noProof/>
            <w:webHidden/>
          </w:rPr>
          <w:fldChar w:fldCharType="end"/>
        </w:r>
      </w:hyperlink>
    </w:p>
    <w:p w:rsidRPr="00B72C03" w:rsidR="0048355A" w:rsidRDefault="00570AE7" w14:paraId="30F78662" w14:textId="77777777">
      <w:pPr>
        <w:pStyle w:val="Verzeichnis1"/>
        <w:tabs>
          <w:tab w:val="right" w:leader="dot" w:pos="8721"/>
        </w:tabs>
        <w:rPr>
          <w:rFonts w:asciiTheme="minorHAnsi" w:hAnsiTheme="minorHAnsi" w:eastAsiaTheme="minorEastAsia" w:cstheme="minorBidi"/>
          <w:noProof/>
          <w:kern w:val="0"/>
          <w:sz w:val="22"/>
          <w:szCs w:val="22"/>
          <w:lang w:eastAsia="de-DE"/>
        </w:rPr>
      </w:pPr>
      <w:hyperlink w:history="1" w:anchor="_Toc25915302">
        <w:r w:rsidRPr="00B72C03" w:rsidR="0048355A">
          <w:rPr>
            <w:rStyle w:val="Hyperlink"/>
            <w:noProof/>
          </w:rPr>
          <w:t>5</w:t>
        </w:r>
        <w:r w:rsidRPr="00B72C03" w:rsidR="0048355A">
          <w:rPr>
            <w:rFonts w:asciiTheme="minorHAnsi" w:hAnsiTheme="minorHAnsi" w:eastAsiaTheme="minorEastAsia" w:cstheme="minorBidi"/>
            <w:noProof/>
            <w:kern w:val="0"/>
            <w:sz w:val="22"/>
            <w:szCs w:val="22"/>
            <w:lang w:eastAsia="de-DE"/>
          </w:rPr>
          <w:tab/>
        </w:r>
        <w:r w:rsidRPr="00B72C03" w:rsidR="0048355A">
          <w:rPr>
            <w:rStyle w:val="Hyperlink"/>
            <w:noProof/>
          </w:rPr>
          <w:t>Eskalation</w:t>
        </w:r>
        <w:r w:rsidRPr="00B72C03" w:rsidR="0048355A">
          <w:rPr>
            <w:noProof/>
            <w:webHidden/>
          </w:rPr>
          <w:tab/>
        </w:r>
        <w:r w:rsidRPr="00B72C03" w:rsidR="0048355A">
          <w:rPr>
            <w:noProof/>
            <w:webHidden/>
          </w:rPr>
          <w:fldChar w:fldCharType="begin"/>
        </w:r>
        <w:r w:rsidRPr="00B72C03" w:rsidR="0048355A">
          <w:rPr>
            <w:noProof/>
            <w:webHidden/>
          </w:rPr>
          <w:instrText xml:space="preserve"> PAGEREF _Toc25915302 \h </w:instrText>
        </w:r>
        <w:r w:rsidRPr="00B72C03" w:rsidR="0048355A">
          <w:rPr>
            <w:noProof/>
            <w:webHidden/>
          </w:rPr>
        </w:r>
        <w:r w:rsidRPr="00B72C03" w:rsidR="0048355A">
          <w:rPr>
            <w:noProof/>
            <w:webHidden/>
          </w:rPr>
          <w:fldChar w:fldCharType="separate"/>
        </w:r>
        <w:r w:rsidRPr="00B72C03" w:rsidR="0048355A">
          <w:rPr>
            <w:noProof/>
            <w:webHidden/>
          </w:rPr>
          <w:t>10</w:t>
        </w:r>
        <w:r w:rsidRPr="00B72C03" w:rsidR="0048355A">
          <w:rPr>
            <w:noProof/>
            <w:webHidden/>
          </w:rPr>
          <w:fldChar w:fldCharType="end"/>
        </w:r>
      </w:hyperlink>
    </w:p>
    <w:p w:rsidRPr="00B72C03" w:rsidR="0048355A" w:rsidRDefault="00570AE7" w14:paraId="22EB1D98" w14:textId="77777777">
      <w:pPr>
        <w:pStyle w:val="Verzeichnis1"/>
        <w:tabs>
          <w:tab w:val="right" w:leader="dot" w:pos="8721"/>
        </w:tabs>
        <w:rPr>
          <w:rFonts w:asciiTheme="minorHAnsi" w:hAnsiTheme="minorHAnsi" w:eastAsiaTheme="minorEastAsia" w:cstheme="minorBidi"/>
          <w:noProof/>
          <w:kern w:val="0"/>
          <w:sz w:val="22"/>
          <w:szCs w:val="22"/>
          <w:lang w:eastAsia="de-DE"/>
        </w:rPr>
      </w:pPr>
      <w:hyperlink w:history="1" w:anchor="_Toc25915303">
        <w:r w:rsidRPr="00B72C03" w:rsidR="0048355A">
          <w:rPr>
            <w:rStyle w:val="Hyperlink"/>
            <w:noProof/>
          </w:rPr>
          <w:t>6</w:t>
        </w:r>
        <w:r w:rsidRPr="00B72C03" w:rsidR="0048355A">
          <w:rPr>
            <w:rFonts w:asciiTheme="minorHAnsi" w:hAnsiTheme="minorHAnsi" w:eastAsiaTheme="minorEastAsia" w:cstheme="minorBidi"/>
            <w:noProof/>
            <w:kern w:val="0"/>
            <w:sz w:val="22"/>
            <w:szCs w:val="22"/>
            <w:lang w:eastAsia="de-DE"/>
          </w:rPr>
          <w:tab/>
        </w:r>
        <w:r w:rsidRPr="00B72C03" w:rsidR="0048355A">
          <w:rPr>
            <w:rStyle w:val="Hyperlink"/>
            <w:noProof/>
          </w:rPr>
          <w:t>Vertraulichkeit</w:t>
        </w:r>
        <w:r w:rsidRPr="00B72C03" w:rsidR="0048355A">
          <w:rPr>
            <w:noProof/>
            <w:webHidden/>
          </w:rPr>
          <w:tab/>
        </w:r>
        <w:r w:rsidRPr="00B72C03" w:rsidR="0048355A">
          <w:rPr>
            <w:noProof/>
            <w:webHidden/>
          </w:rPr>
          <w:fldChar w:fldCharType="begin"/>
        </w:r>
        <w:r w:rsidRPr="00B72C03" w:rsidR="0048355A">
          <w:rPr>
            <w:noProof/>
            <w:webHidden/>
          </w:rPr>
          <w:instrText xml:space="preserve"> PAGEREF _Toc25915303 \h </w:instrText>
        </w:r>
        <w:r w:rsidRPr="00B72C03" w:rsidR="0048355A">
          <w:rPr>
            <w:noProof/>
            <w:webHidden/>
          </w:rPr>
        </w:r>
        <w:r w:rsidRPr="00B72C03" w:rsidR="0048355A">
          <w:rPr>
            <w:noProof/>
            <w:webHidden/>
          </w:rPr>
          <w:fldChar w:fldCharType="separate"/>
        </w:r>
        <w:r w:rsidRPr="00B72C03" w:rsidR="0048355A">
          <w:rPr>
            <w:noProof/>
            <w:webHidden/>
          </w:rPr>
          <w:t>10</w:t>
        </w:r>
        <w:r w:rsidRPr="00B72C03" w:rsidR="0048355A">
          <w:rPr>
            <w:noProof/>
            <w:webHidden/>
          </w:rPr>
          <w:fldChar w:fldCharType="end"/>
        </w:r>
      </w:hyperlink>
    </w:p>
    <w:p w:rsidRPr="00B72C03" w:rsidR="0048355A" w:rsidRDefault="00570AE7" w14:paraId="30DB0857" w14:textId="77777777">
      <w:pPr>
        <w:pStyle w:val="Verzeichnis1"/>
        <w:tabs>
          <w:tab w:val="right" w:leader="dot" w:pos="8721"/>
        </w:tabs>
        <w:rPr>
          <w:rFonts w:asciiTheme="minorHAnsi" w:hAnsiTheme="minorHAnsi" w:eastAsiaTheme="minorEastAsia" w:cstheme="minorBidi"/>
          <w:noProof/>
          <w:kern w:val="0"/>
          <w:sz w:val="22"/>
          <w:szCs w:val="22"/>
          <w:lang w:eastAsia="de-DE"/>
        </w:rPr>
      </w:pPr>
      <w:hyperlink w:history="1" w:anchor="_Toc25915304">
        <w:r w:rsidRPr="00B72C03" w:rsidR="0048355A">
          <w:rPr>
            <w:rStyle w:val="Hyperlink"/>
            <w:noProof/>
          </w:rPr>
          <w:t>7</w:t>
        </w:r>
        <w:r w:rsidRPr="00B72C03" w:rsidR="0048355A">
          <w:rPr>
            <w:rFonts w:asciiTheme="minorHAnsi" w:hAnsiTheme="minorHAnsi" w:eastAsiaTheme="minorEastAsia" w:cstheme="minorBidi"/>
            <w:noProof/>
            <w:kern w:val="0"/>
            <w:sz w:val="22"/>
            <w:szCs w:val="22"/>
            <w:lang w:eastAsia="de-DE"/>
          </w:rPr>
          <w:tab/>
        </w:r>
        <w:r w:rsidRPr="00B72C03" w:rsidR="0048355A">
          <w:rPr>
            <w:rStyle w:val="Hyperlink"/>
            <w:noProof/>
          </w:rPr>
          <w:t>Laufzeit und Kündigung</w:t>
        </w:r>
        <w:r w:rsidRPr="00B72C03" w:rsidR="0048355A">
          <w:rPr>
            <w:noProof/>
            <w:webHidden/>
          </w:rPr>
          <w:tab/>
        </w:r>
        <w:r w:rsidRPr="00B72C03" w:rsidR="0048355A">
          <w:rPr>
            <w:noProof/>
            <w:webHidden/>
          </w:rPr>
          <w:fldChar w:fldCharType="begin"/>
        </w:r>
        <w:r w:rsidRPr="00B72C03" w:rsidR="0048355A">
          <w:rPr>
            <w:noProof/>
            <w:webHidden/>
          </w:rPr>
          <w:instrText xml:space="preserve"> PAGEREF _Toc25915304 \h </w:instrText>
        </w:r>
        <w:r w:rsidRPr="00B72C03" w:rsidR="0048355A">
          <w:rPr>
            <w:noProof/>
            <w:webHidden/>
          </w:rPr>
        </w:r>
        <w:r w:rsidRPr="00B72C03" w:rsidR="0048355A">
          <w:rPr>
            <w:noProof/>
            <w:webHidden/>
          </w:rPr>
          <w:fldChar w:fldCharType="separate"/>
        </w:r>
        <w:r w:rsidRPr="00B72C03" w:rsidR="0048355A">
          <w:rPr>
            <w:noProof/>
            <w:webHidden/>
          </w:rPr>
          <w:t>11</w:t>
        </w:r>
        <w:r w:rsidRPr="00B72C03" w:rsidR="0048355A">
          <w:rPr>
            <w:noProof/>
            <w:webHidden/>
          </w:rPr>
          <w:fldChar w:fldCharType="end"/>
        </w:r>
      </w:hyperlink>
    </w:p>
    <w:p w:rsidRPr="00B72C03" w:rsidR="0048355A" w:rsidRDefault="00570AE7" w14:paraId="5DDBCD51" w14:textId="77777777">
      <w:pPr>
        <w:pStyle w:val="Verzeichnis1"/>
        <w:tabs>
          <w:tab w:val="right" w:leader="dot" w:pos="8721"/>
        </w:tabs>
        <w:rPr>
          <w:rFonts w:asciiTheme="minorHAnsi" w:hAnsiTheme="minorHAnsi" w:eastAsiaTheme="minorEastAsia" w:cstheme="minorBidi"/>
          <w:noProof/>
          <w:kern w:val="0"/>
          <w:sz w:val="22"/>
          <w:szCs w:val="22"/>
          <w:lang w:eastAsia="de-DE"/>
        </w:rPr>
      </w:pPr>
      <w:hyperlink w:history="1" w:anchor="_Toc25915305">
        <w:r w:rsidRPr="00B72C03" w:rsidR="0048355A">
          <w:rPr>
            <w:rStyle w:val="Hyperlink"/>
            <w:noProof/>
          </w:rPr>
          <w:t>8</w:t>
        </w:r>
        <w:r w:rsidRPr="00B72C03" w:rsidR="0048355A">
          <w:rPr>
            <w:rFonts w:asciiTheme="minorHAnsi" w:hAnsiTheme="minorHAnsi" w:eastAsiaTheme="minorEastAsia" w:cstheme="minorBidi"/>
            <w:noProof/>
            <w:kern w:val="0"/>
            <w:sz w:val="22"/>
            <w:szCs w:val="22"/>
            <w:lang w:eastAsia="de-DE"/>
          </w:rPr>
          <w:tab/>
        </w:r>
        <w:r w:rsidRPr="00B72C03" w:rsidR="0048355A">
          <w:rPr>
            <w:rStyle w:val="Hyperlink"/>
            <w:noProof/>
          </w:rPr>
          <w:t>Schlussbestimmungen</w:t>
        </w:r>
        <w:r w:rsidRPr="00B72C03" w:rsidR="0048355A">
          <w:rPr>
            <w:noProof/>
            <w:webHidden/>
          </w:rPr>
          <w:tab/>
        </w:r>
        <w:r w:rsidRPr="00B72C03" w:rsidR="0048355A">
          <w:rPr>
            <w:noProof/>
            <w:webHidden/>
          </w:rPr>
          <w:fldChar w:fldCharType="begin"/>
        </w:r>
        <w:r w:rsidRPr="00B72C03" w:rsidR="0048355A">
          <w:rPr>
            <w:noProof/>
            <w:webHidden/>
          </w:rPr>
          <w:instrText xml:space="preserve"> PAGEREF _Toc25915305 \h </w:instrText>
        </w:r>
        <w:r w:rsidRPr="00B72C03" w:rsidR="0048355A">
          <w:rPr>
            <w:noProof/>
            <w:webHidden/>
          </w:rPr>
        </w:r>
        <w:r w:rsidRPr="00B72C03" w:rsidR="0048355A">
          <w:rPr>
            <w:noProof/>
            <w:webHidden/>
          </w:rPr>
          <w:fldChar w:fldCharType="separate"/>
        </w:r>
        <w:r w:rsidRPr="00B72C03" w:rsidR="0048355A">
          <w:rPr>
            <w:noProof/>
            <w:webHidden/>
          </w:rPr>
          <w:t>11</w:t>
        </w:r>
        <w:r w:rsidRPr="00B72C03" w:rsidR="0048355A">
          <w:rPr>
            <w:noProof/>
            <w:webHidden/>
          </w:rPr>
          <w:fldChar w:fldCharType="end"/>
        </w:r>
      </w:hyperlink>
    </w:p>
    <w:p w:rsidRPr="00B72C03" w:rsidR="0048355A" w:rsidRDefault="00570AE7" w14:paraId="546082DA" w14:textId="77777777">
      <w:pPr>
        <w:pStyle w:val="Verzeichnis1"/>
        <w:tabs>
          <w:tab w:val="right" w:leader="dot" w:pos="8721"/>
        </w:tabs>
        <w:rPr>
          <w:rFonts w:asciiTheme="minorHAnsi" w:hAnsiTheme="minorHAnsi" w:eastAsiaTheme="minorEastAsia" w:cstheme="minorBidi"/>
          <w:noProof/>
          <w:kern w:val="0"/>
          <w:sz w:val="22"/>
          <w:szCs w:val="22"/>
          <w:lang w:eastAsia="de-DE"/>
        </w:rPr>
      </w:pPr>
      <w:hyperlink w:history="1" w:anchor="_Toc25915306">
        <w:r w:rsidRPr="00B72C03" w:rsidR="0048355A">
          <w:rPr>
            <w:rStyle w:val="Hyperlink"/>
            <w:noProof/>
          </w:rPr>
          <w:t>9</w:t>
        </w:r>
        <w:r w:rsidRPr="00B72C03" w:rsidR="0048355A">
          <w:rPr>
            <w:rFonts w:asciiTheme="minorHAnsi" w:hAnsiTheme="minorHAnsi" w:eastAsiaTheme="minorEastAsia" w:cstheme="minorBidi"/>
            <w:noProof/>
            <w:kern w:val="0"/>
            <w:sz w:val="22"/>
            <w:szCs w:val="22"/>
            <w:lang w:eastAsia="de-DE"/>
          </w:rPr>
          <w:tab/>
        </w:r>
        <w:r w:rsidRPr="00B72C03" w:rsidR="0048355A">
          <w:rPr>
            <w:rStyle w:val="Hyperlink"/>
            <w:noProof/>
          </w:rPr>
          <w:t>Anlagen</w:t>
        </w:r>
        <w:r w:rsidRPr="00B72C03" w:rsidR="0048355A">
          <w:rPr>
            <w:noProof/>
            <w:webHidden/>
          </w:rPr>
          <w:tab/>
        </w:r>
        <w:r w:rsidRPr="00B72C03" w:rsidR="0048355A">
          <w:rPr>
            <w:noProof/>
            <w:webHidden/>
          </w:rPr>
          <w:fldChar w:fldCharType="begin"/>
        </w:r>
        <w:r w:rsidRPr="00B72C03" w:rsidR="0048355A">
          <w:rPr>
            <w:noProof/>
            <w:webHidden/>
          </w:rPr>
          <w:instrText xml:space="preserve"> PAGEREF _Toc25915306 \h </w:instrText>
        </w:r>
        <w:r w:rsidRPr="00B72C03" w:rsidR="0048355A">
          <w:rPr>
            <w:noProof/>
            <w:webHidden/>
          </w:rPr>
        </w:r>
        <w:r w:rsidRPr="00B72C03" w:rsidR="0048355A">
          <w:rPr>
            <w:noProof/>
            <w:webHidden/>
          </w:rPr>
          <w:fldChar w:fldCharType="separate"/>
        </w:r>
        <w:r w:rsidRPr="00B72C03" w:rsidR="0048355A">
          <w:rPr>
            <w:noProof/>
            <w:webHidden/>
          </w:rPr>
          <w:t>11</w:t>
        </w:r>
        <w:r w:rsidRPr="00B72C03" w:rsidR="0048355A">
          <w:rPr>
            <w:noProof/>
            <w:webHidden/>
          </w:rPr>
          <w:fldChar w:fldCharType="end"/>
        </w:r>
      </w:hyperlink>
    </w:p>
    <w:p w:rsidRPr="00B72C03" w:rsidR="00EE439B" w:rsidP="00137264" w:rsidRDefault="00EE439B" w14:paraId="110EBFD8" w14:textId="77777777">
      <w:pPr>
        <w:pStyle w:val="Body"/>
        <w:rPr>
          <w:b/>
          <w:sz w:val="22"/>
          <w:szCs w:val="22"/>
        </w:rPr>
      </w:pPr>
      <w:r w:rsidRPr="00B72C03">
        <w:fldChar w:fldCharType="end"/>
      </w:r>
      <w:r w:rsidRPr="00B72C03">
        <w:br w:type="page"/>
      </w:r>
      <w:r w:rsidRPr="00B72C03">
        <w:rPr>
          <w:b/>
          <w:sz w:val="22"/>
          <w:szCs w:val="22"/>
        </w:rPr>
        <w:lastRenderedPageBreak/>
        <w:t>Präambel</w:t>
      </w:r>
    </w:p>
    <w:p w:rsidRPr="00B72C03" w:rsidR="00EE439B" w:rsidP="002D3A4B" w:rsidRDefault="00EE439B" w14:paraId="7DE28CB1" w14:textId="07A02020">
      <w:pPr>
        <w:pStyle w:val="Recitals"/>
        <w:numPr>
          <w:ilvl w:val="0"/>
          <w:numId w:val="18"/>
        </w:numPr>
      </w:pPr>
      <w:r w:rsidRPr="00B72C03">
        <w:t>Die Vertragsparteien</w:t>
      </w:r>
      <w:r w:rsidRPr="00B72C03" w:rsidR="00275A0F">
        <w:t xml:space="preserve"> (im Folgenden nur „</w:t>
      </w:r>
      <w:r w:rsidRPr="00B72C03" w:rsidR="00275A0F">
        <w:rPr>
          <w:b/>
        </w:rPr>
        <w:t>Anbieter</w:t>
      </w:r>
      <w:r w:rsidRPr="00B72C03" w:rsidR="00275A0F">
        <w:t>“)</w:t>
      </w:r>
      <w:r w:rsidRPr="00B72C03">
        <w:t xml:space="preserve"> </w:t>
      </w:r>
      <w:r w:rsidRPr="00B72C03" w:rsidR="00275A0F">
        <w:t xml:space="preserve">können </w:t>
      </w:r>
      <w:r w:rsidRPr="00B72C03" w:rsidR="0074240C">
        <w:t>sowohl</w:t>
      </w:r>
      <w:r w:rsidRPr="00B72C03">
        <w:t xml:space="preserve"> Anbieter öffentlich zugänglicher Telekommunikationsdienste im Sinne des § 3 Nr. </w:t>
      </w:r>
      <w:r w:rsidR="00EE09AF">
        <w:t>44</w:t>
      </w:r>
      <w:r w:rsidRPr="00B72C03">
        <w:t xml:space="preserve"> TKG</w:t>
      </w:r>
      <w:r w:rsidRPr="00B72C03" w:rsidR="00275A0F">
        <w:rPr>
          <w:szCs w:val="20"/>
        </w:rPr>
        <w:t xml:space="preserve"> </w:t>
      </w:r>
      <w:r w:rsidRPr="00B72C03" w:rsidR="0074240C">
        <w:rPr>
          <w:szCs w:val="20"/>
        </w:rPr>
        <w:t>als auch</w:t>
      </w:r>
      <w:r w:rsidRPr="00B72C03" w:rsidR="00275A0F">
        <w:rPr>
          <w:szCs w:val="20"/>
        </w:rPr>
        <w:t xml:space="preserve"> </w:t>
      </w:r>
      <w:r w:rsidRPr="00B72C03" w:rsidR="00981CB4">
        <w:t xml:space="preserve">Dienstleister </w:t>
      </w:r>
      <w:r w:rsidRPr="00B72C03" w:rsidR="00275A0F">
        <w:t xml:space="preserve">zur Durchführung des Anbieterwechsels sein, sofern </w:t>
      </w:r>
      <w:r w:rsidRPr="00B72C03" w:rsidR="0074240C">
        <w:t>s</w:t>
      </w:r>
      <w:r w:rsidRPr="00B72C03" w:rsidR="00275A0F">
        <w:t xml:space="preserve">ie </w:t>
      </w:r>
      <w:r w:rsidRPr="00B72C03" w:rsidR="00981CB4">
        <w:t>nach §</w:t>
      </w:r>
      <w:r w:rsidRPr="00B72C03" w:rsidR="00275A0F">
        <w:t> </w:t>
      </w:r>
      <w:r w:rsidR="00EE09AF">
        <w:t>5</w:t>
      </w:r>
      <w:r w:rsidRPr="00B72C03" w:rsidR="00275A0F">
        <w:t> </w:t>
      </w:r>
      <w:r w:rsidRPr="00B72C03" w:rsidR="00981CB4">
        <w:t>Abs.</w:t>
      </w:r>
      <w:r w:rsidRPr="00B72C03" w:rsidR="00275A0F">
        <w:t> </w:t>
      </w:r>
      <w:r w:rsidRPr="00B72C03" w:rsidR="00981CB4">
        <w:t>1</w:t>
      </w:r>
      <w:r w:rsidRPr="00B72C03" w:rsidR="00275A0F">
        <w:t> </w:t>
      </w:r>
      <w:r w:rsidRPr="00B72C03" w:rsidR="00981CB4">
        <w:t>TKG registriert</w:t>
      </w:r>
      <w:r w:rsidRPr="00B72C03" w:rsidR="0074240C">
        <w:t xml:space="preserve"> sind</w:t>
      </w:r>
      <w:r w:rsidRPr="00B72C03" w:rsidR="00981CB4">
        <w:t>.</w:t>
      </w:r>
    </w:p>
    <w:p w:rsidRPr="00B72C03" w:rsidR="00EE439B" w:rsidP="00F125B2" w:rsidRDefault="00EE439B" w14:paraId="773C7096" w14:textId="64F23F72">
      <w:pPr>
        <w:pStyle w:val="Recitals"/>
        <w:numPr>
          <w:ilvl w:val="0"/>
          <w:numId w:val="18"/>
        </w:numPr>
        <w:rPr/>
      </w:pPr>
      <w:r w:rsidR="00EE439B">
        <w:rPr/>
        <w:t xml:space="preserve">Durch das </w:t>
      </w:r>
      <w:r w:rsidR="00514213">
        <w:rPr/>
        <w:t>Telekommunikationsgesetz</w:t>
      </w:r>
      <w:r w:rsidR="00EE439B">
        <w:rPr/>
        <w:t xml:space="preserve">, das am </w:t>
      </w:r>
      <w:r w:rsidR="00EE09AF">
        <w:rPr/>
        <w:t>01</w:t>
      </w:r>
      <w:r w:rsidR="00EE439B">
        <w:rPr/>
        <w:t>.</w:t>
      </w:r>
      <w:r w:rsidR="00EE09AF">
        <w:rPr/>
        <w:t>1</w:t>
      </w:r>
      <w:r w:rsidR="007B5CDD">
        <w:rPr/>
        <w:t>2</w:t>
      </w:r>
      <w:r w:rsidR="00EE439B">
        <w:rPr/>
        <w:t>.</w:t>
      </w:r>
      <w:r w:rsidR="00EE09AF">
        <w:rPr/>
        <w:t>20</w:t>
      </w:r>
      <w:r w:rsidR="00EE09AF">
        <w:rPr/>
        <w:t>21</w:t>
      </w:r>
      <w:r w:rsidR="00EE09AF">
        <w:rPr/>
        <w:t xml:space="preserve"> </w:t>
      </w:r>
      <w:r w:rsidR="00EE439B">
        <w:rPr/>
        <w:t xml:space="preserve">in Kraft getreten ist, </w:t>
      </w:r>
      <w:r w:rsidR="000A7939">
        <w:rPr/>
        <w:t>sind</w:t>
      </w:r>
      <w:r w:rsidR="000A7939">
        <w:rPr/>
        <w:t xml:space="preserve"> </w:t>
      </w:r>
      <w:r w:rsidR="00EE439B">
        <w:rPr/>
        <w:t>der Anbieterwechsel</w:t>
      </w:r>
      <w:r w:rsidR="000A7939">
        <w:rPr/>
        <w:t xml:space="preserve"> und die </w:t>
      </w:r>
      <w:r w:rsidR="000A7939">
        <w:rPr/>
        <w:t xml:space="preserve">Rufnummernmitnahme </w:t>
      </w:r>
      <w:r w:rsidR="00EE439B">
        <w:rPr/>
        <w:t>u.</w:t>
      </w:r>
      <w:r w:rsidR="00EE439B">
        <w:rPr/>
        <w:t xml:space="preserve"> a. im Festnetzbereich </w:t>
      </w:r>
      <w:r w:rsidR="00EE439B">
        <w:rPr/>
        <w:t xml:space="preserve">(umfasst sämtliche ortsgebundenen Dienste unabhängig </w:t>
      </w:r>
      <w:r w:rsidR="00F0255F">
        <w:rPr/>
        <w:t xml:space="preserve">von </w:t>
      </w:r>
      <w:r w:rsidR="00EE439B">
        <w:rPr/>
        <w:t>deren technischer Realisierung)</w:t>
      </w:r>
      <w:r w:rsidR="00EE439B">
        <w:rPr/>
        <w:t xml:space="preserve"> in § </w:t>
      </w:r>
      <w:r w:rsidR="000A7939">
        <w:rPr/>
        <w:t>59</w:t>
      </w:r>
      <w:r w:rsidR="000A7939">
        <w:rPr/>
        <w:t xml:space="preserve"> </w:t>
      </w:r>
      <w:r w:rsidR="00EE439B">
        <w:rPr/>
        <w:t>TKG neu geregelt worden. Zur Erfüllung der gesetzlichen Vorgaben zum Anbieterwechsel im Festnetzbereich sind Abstimmungsprozesse der Anbieter effizient und einheitlich auszugestalten.</w:t>
      </w:r>
    </w:p>
    <w:p w:rsidRPr="00B72C03" w:rsidR="00EE439B" w:rsidP="0043487A" w:rsidRDefault="00EE439B" w14:paraId="64B8284B" w14:textId="7ED43674">
      <w:pPr>
        <w:pStyle w:val="Recitals"/>
        <w:numPr>
          <w:ilvl w:val="0"/>
          <w:numId w:val="18"/>
        </w:numPr>
        <w:rPr>
          <w:szCs w:val="20"/>
        </w:rPr>
      </w:pPr>
      <w:r w:rsidRPr="00B72C03">
        <w:rPr>
          <w:szCs w:val="20"/>
        </w:rPr>
        <w:t xml:space="preserve">Wenn ein Endkunde einen Anbieterwechsel im Sinne des § </w:t>
      </w:r>
      <w:r w:rsidR="000A7939">
        <w:rPr>
          <w:szCs w:val="20"/>
        </w:rPr>
        <w:t>59</w:t>
      </w:r>
      <w:r w:rsidRPr="00B72C03" w:rsidR="000A7939">
        <w:rPr>
          <w:szCs w:val="20"/>
        </w:rPr>
        <w:t xml:space="preserve"> </w:t>
      </w:r>
      <w:r w:rsidRPr="00B72C03">
        <w:rPr>
          <w:szCs w:val="20"/>
        </w:rPr>
        <w:t>Absatz 1</w:t>
      </w:r>
      <w:r w:rsidR="000A7939">
        <w:rPr>
          <w:szCs w:val="20"/>
        </w:rPr>
        <w:t xml:space="preserve"> und 2 </w:t>
      </w:r>
      <w:r w:rsidRPr="00B72C03">
        <w:rPr>
          <w:szCs w:val="20"/>
        </w:rPr>
        <w:t>TKG im Festnetzbereich wünscht, erfordert dies die Beendigung des Bezugs einer oder aller bisherigen Telekommunikationsdienstleistungen bei seinem bisherigen Telekommunikationsdienstleistungsanbieter (im Folgenden abgebender Endkundenvertragspartner „</w:t>
      </w:r>
      <w:r w:rsidRPr="00B72C03">
        <w:rPr>
          <w:b/>
          <w:szCs w:val="20"/>
        </w:rPr>
        <w:t>EKP</w:t>
      </w:r>
      <w:r w:rsidRPr="00B72C03">
        <w:rPr>
          <w:b/>
          <w:szCs w:val="20"/>
          <w:vertAlign w:val="subscript"/>
        </w:rPr>
        <w:t>abg</w:t>
      </w:r>
      <w:r w:rsidRPr="00B72C03">
        <w:rPr>
          <w:szCs w:val="20"/>
        </w:rPr>
        <w:t>“) und den daran anschließenden Beginn des Bezugs einer oder mehrerer Telekommunikationsdienstleistungen bei seinem neuen Telekommunikationsdienstleistungsanbieter (im Folgenden aufnehmender Endkundenvertragspartner „</w:t>
      </w:r>
      <w:r w:rsidRPr="00B72C03">
        <w:rPr>
          <w:b/>
          <w:szCs w:val="20"/>
        </w:rPr>
        <w:t>EKP</w:t>
      </w:r>
      <w:r w:rsidRPr="00B72C03">
        <w:rPr>
          <w:b/>
          <w:szCs w:val="20"/>
          <w:vertAlign w:val="subscript"/>
        </w:rPr>
        <w:t>auf</w:t>
      </w:r>
      <w:r w:rsidRPr="00B72C03">
        <w:rPr>
          <w:szCs w:val="20"/>
        </w:rPr>
        <w:t>“). Hierzu muss er das die Telekommunikationsdienstleistung betreffende Vertragsverhältnis bei EKP</w:t>
      </w:r>
      <w:r w:rsidRPr="00B72C03">
        <w:rPr>
          <w:szCs w:val="20"/>
          <w:vertAlign w:val="subscript"/>
        </w:rPr>
        <w:t>abg</w:t>
      </w:r>
      <w:r w:rsidRPr="00B72C03">
        <w:rPr>
          <w:szCs w:val="20"/>
        </w:rPr>
        <w:t xml:space="preserve"> kündigen und einen neuen Vertrag über die Erbringung von Telekommunikationsdienstleistungen mit EKP</w:t>
      </w:r>
      <w:r w:rsidRPr="00B72C03">
        <w:rPr>
          <w:szCs w:val="20"/>
          <w:vertAlign w:val="subscript"/>
        </w:rPr>
        <w:t>auf</w:t>
      </w:r>
      <w:r w:rsidRPr="00B72C03">
        <w:rPr>
          <w:szCs w:val="20"/>
        </w:rPr>
        <w:t xml:space="preserve"> schließen. In der Regel beauftragt und/oder bevollmächtigt der Endkunde EKP</w:t>
      </w:r>
      <w:r w:rsidRPr="00B72C03">
        <w:rPr>
          <w:szCs w:val="20"/>
          <w:vertAlign w:val="subscript"/>
        </w:rPr>
        <w:t>auf</w:t>
      </w:r>
      <w:r w:rsidRPr="00B72C03">
        <w:rPr>
          <w:szCs w:val="20"/>
        </w:rPr>
        <w:t xml:space="preserve"> im Rahmen des Vertragsabschlusses, die Kündigung des Vertrages mit EKP</w:t>
      </w:r>
      <w:r w:rsidRPr="00B72C03">
        <w:rPr>
          <w:szCs w:val="20"/>
          <w:vertAlign w:val="subscript"/>
        </w:rPr>
        <w:t>abg</w:t>
      </w:r>
      <w:r w:rsidRPr="00B72C03">
        <w:rPr>
          <w:szCs w:val="20"/>
        </w:rPr>
        <w:t xml:space="preserve"> </w:t>
      </w:r>
      <w:r w:rsidRPr="00B72C03" w:rsidR="00E40F00">
        <w:rPr>
          <w:szCs w:val="20"/>
        </w:rPr>
        <w:t xml:space="preserve">an diesen </w:t>
      </w:r>
      <w:r w:rsidRPr="00B72C03">
        <w:rPr>
          <w:szCs w:val="20"/>
        </w:rPr>
        <w:t>zu übermitteln oder diese selber im Namen und/oder im Auftrag des Endkunden vorzunehmen. Der Endkunde kann auch, sofern er eine Mitnahme seiner bisherigen Rufnummer(n) wünscht, EKP</w:t>
      </w:r>
      <w:r w:rsidRPr="00B72C03">
        <w:rPr>
          <w:szCs w:val="20"/>
          <w:vertAlign w:val="subscript"/>
        </w:rPr>
        <w:t>auf</w:t>
      </w:r>
      <w:r w:rsidRPr="00B72C03">
        <w:rPr>
          <w:szCs w:val="20"/>
        </w:rPr>
        <w:t xml:space="preserve"> damit beauftragen, den Auftrag zur Rufnummernmitnahme zu übermitteln und/oder diesen selber im Namen und</w:t>
      </w:r>
      <w:r w:rsidRPr="00B72C03" w:rsidR="00E40F00">
        <w:rPr>
          <w:szCs w:val="20"/>
        </w:rPr>
        <w:t>/oder</w:t>
      </w:r>
      <w:r w:rsidRPr="00B72C03">
        <w:rPr>
          <w:szCs w:val="20"/>
        </w:rPr>
        <w:t xml:space="preserve"> im Auftrag des Endkunden beim EKP</w:t>
      </w:r>
      <w:r w:rsidRPr="00B72C03">
        <w:rPr>
          <w:szCs w:val="20"/>
          <w:vertAlign w:val="subscript"/>
        </w:rPr>
        <w:t>abg</w:t>
      </w:r>
      <w:r w:rsidRPr="00B72C03">
        <w:rPr>
          <w:szCs w:val="20"/>
        </w:rPr>
        <w:t xml:space="preserve"> zu stellen.</w:t>
      </w:r>
      <w:r w:rsidRPr="00B72C03">
        <w:t xml:space="preserve"> </w:t>
      </w:r>
    </w:p>
    <w:p w:rsidRPr="00B72C03" w:rsidR="00EE439B" w:rsidP="0043487A" w:rsidRDefault="00EE439B" w14:paraId="07EEC48E" w14:textId="2E39E96B">
      <w:pPr>
        <w:pStyle w:val="Recitals"/>
        <w:numPr>
          <w:ilvl w:val="0"/>
          <w:numId w:val="18"/>
        </w:numPr>
        <w:rPr>
          <w:szCs w:val="20"/>
        </w:rPr>
      </w:pPr>
      <w:r w:rsidRPr="00B72C03">
        <w:rPr>
          <w:szCs w:val="20"/>
        </w:rPr>
        <w:t>Der Wechselprozess eines Endkunden gliedert sich zwischen den am Anbieterwechselprozess beteiligten Anbietern in folgende drei Phasen.</w:t>
      </w:r>
    </w:p>
    <w:p w:rsidRPr="00B72C03" w:rsidR="00EE439B" w:rsidP="00E57CC7" w:rsidRDefault="00EE439B" w14:paraId="6DF72000" w14:textId="77777777">
      <w:pPr>
        <w:pStyle w:val="Recitals"/>
        <w:numPr>
          <w:ilvl w:val="1"/>
          <w:numId w:val="18"/>
        </w:numPr>
        <w:tabs>
          <w:tab w:val="clear" w:pos="2520"/>
          <w:tab w:val="num" w:pos="1276"/>
        </w:tabs>
        <w:ind w:left="1276" w:hanging="365"/>
        <w:rPr>
          <w:szCs w:val="20"/>
        </w:rPr>
      </w:pPr>
      <w:r w:rsidRPr="00B72C03">
        <w:rPr>
          <w:szCs w:val="20"/>
          <w:u w:val="single"/>
        </w:rPr>
        <w:t>Phase 1 – Vorabstimmung:</w:t>
      </w:r>
      <w:r w:rsidRPr="00B72C03">
        <w:rPr>
          <w:szCs w:val="20"/>
        </w:rPr>
        <w:t xml:space="preserve"> Im Rahmen der Vorabstimmung informieren die Vertragspartei</w:t>
      </w:r>
      <w:r w:rsidRPr="00B72C03">
        <w:rPr>
          <w:kern w:val="0"/>
          <w:szCs w:val="20"/>
        </w:rPr>
        <w:t>e</w:t>
      </w:r>
      <w:r w:rsidRPr="00B72C03">
        <w:rPr>
          <w:szCs w:val="20"/>
        </w:rPr>
        <w:t>n einander insbesondere über das Vertragsende des bisherigen Telekommunikationsvertrages des Endkunden und stimmen sich über den Übergang der Leistungserbringung auf EKP</w:t>
      </w:r>
      <w:r w:rsidRPr="00B72C03">
        <w:rPr>
          <w:szCs w:val="20"/>
          <w:vertAlign w:val="subscript"/>
        </w:rPr>
        <w:t>auf</w:t>
      </w:r>
      <w:r w:rsidRPr="00B72C03">
        <w:rPr>
          <w:szCs w:val="20"/>
        </w:rPr>
        <w:t xml:space="preserve"> sowie ggf. über eine vom Endkunden gewünschte Rufnummernmitnahme ab.</w:t>
      </w:r>
    </w:p>
    <w:p w:rsidRPr="00B72C03" w:rsidR="00EE439B" w:rsidP="00E57CC7" w:rsidRDefault="00EE439B" w14:paraId="3C93847B" w14:textId="7EBC6949">
      <w:pPr>
        <w:pStyle w:val="Recitals"/>
        <w:numPr>
          <w:ilvl w:val="1"/>
          <w:numId w:val="18"/>
        </w:numPr>
        <w:tabs>
          <w:tab w:val="clear" w:pos="2520"/>
          <w:tab w:val="num" w:pos="1276"/>
        </w:tabs>
        <w:ind w:left="1276" w:hanging="365"/>
        <w:rPr>
          <w:szCs w:val="20"/>
        </w:rPr>
      </w:pPr>
      <w:r w:rsidRPr="00B72C03">
        <w:rPr>
          <w:szCs w:val="20"/>
          <w:u w:val="single"/>
        </w:rPr>
        <w:t>Phase 2 – Beauftragung der technischen Ressource:</w:t>
      </w:r>
      <w:r w:rsidRPr="00B72C03">
        <w:rPr>
          <w:szCs w:val="20"/>
        </w:rPr>
        <w:t xml:space="preserve"> In dieser Wechselphase stimmen sich aufnehmender und abgebender Telekommunikationsnetzbetreiber (solche im Sinne des § 3 Nr. </w:t>
      </w:r>
      <w:r w:rsidR="00E415CA">
        <w:rPr>
          <w:szCs w:val="20"/>
        </w:rPr>
        <w:t>42</w:t>
      </w:r>
      <w:r w:rsidRPr="00B72C03">
        <w:rPr>
          <w:szCs w:val="20"/>
        </w:rPr>
        <w:t xml:space="preserve"> TKG) nach Beauftragung durch den jeweiligen EKP über die An- und Abschaltung der jeweils benötigten technischen Ressource (z.B. Teilnehmeranschlussleitung) ggf. mit dem Anschlussnetzeigentümer, von dem sie die jeweils gewünschte technische Ressource beziehen, ab.</w:t>
      </w:r>
    </w:p>
    <w:p w:rsidRPr="00B72C03" w:rsidR="00EE439B" w:rsidP="00E57CC7" w:rsidRDefault="00EE439B" w14:paraId="024E2C7E" w14:textId="77777777">
      <w:pPr>
        <w:pStyle w:val="Recitals"/>
        <w:numPr>
          <w:ilvl w:val="1"/>
          <w:numId w:val="18"/>
        </w:numPr>
        <w:tabs>
          <w:tab w:val="clear" w:pos="2520"/>
          <w:tab w:val="num" w:pos="1276"/>
        </w:tabs>
        <w:ind w:left="1276" w:hanging="365"/>
      </w:pPr>
      <w:r w:rsidRPr="00B72C03">
        <w:rPr>
          <w:u w:val="single"/>
        </w:rPr>
        <w:t>Phase 3 – Maßnahmen im Falle des Scheiterns des Anbieterwechsels:</w:t>
      </w:r>
      <w:r w:rsidRPr="00B72C03">
        <w:t xml:space="preserve"> In dieser Phase stimmen sich alle am Anbieterwechsel beteiligten Anbieter im Falle des Scheiterns des Anbieterwechsels ab, um eine Unterbrechung der Versorgung des Endkunden mit Telekommunikationsdienstleistungen zu vermeiden.</w:t>
      </w:r>
    </w:p>
    <w:p w:rsidRPr="00B72C03" w:rsidR="00EE439B" w:rsidP="000A21DC" w:rsidRDefault="00EE439B" w14:paraId="0C0D8E08" w14:textId="77777777">
      <w:pPr>
        <w:pStyle w:val="Recitals"/>
        <w:tabs>
          <w:tab w:val="clear" w:pos="680"/>
        </w:tabs>
        <w:ind w:left="0" w:firstLine="0"/>
      </w:pPr>
    </w:p>
    <w:p w:rsidRPr="00B72C03" w:rsidR="009C5293" w:rsidRDefault="009C5293" w14:paraId="219D2165" w14:textId="77777777">
      <w:pPr>
        <w:rPr>
          <w:kern w:val="20"/>
          <w:sz w:val="24"/>
        </w:rPr>
      </w:pPr>
      <w:r w:rsidRPr="00B72C03">
        <w:br w:type="page"/>
      </w:r>
    </w:p>
    <w:p w:rsidRPr="00B72C03" w:rsidR="00EE439B" w:rsidP="000A21DC" w:rsidRDefault="00EE439B" w14:paraId="7F0E7B7B" w14:textId="548F898F">
      <w:pPr>
        <w:pStyle w:val="Body"/>
        <w:rPr>
          <w:sz w:val="20"/>
          <w:szCs w:val="20"/>
        </w:rPr>
      </w:pPr>
      <w:r w:rsidRPr="00B72C03">
        <w:rPr>
          <w:sz w:val="20"/>
          <w:szCs w:val="20"/>
        </w:rPr>
        <w:lastRenderedPageBreak/>
        <w:t>Dies vorausgeschickt, vereinbaren die Vertragsparteien das Folgende:</w:t>
      </w:r>
    </w:p>
    <w:p w:rsidRPr="00B72C03" w:rsidR="00EE439B" w:rsidP="000A21DC" w:rsidRDefault="00EE439B" w14:paraId="69A425D1" w14:textId="77777777">
      <w:pPr>
        <w:pStyle w:val="Level1"/>
        <w:numPr>
          <w:ilvl w:val="0"/>
          <w:numId w:val="16"/>
        </w:numPr>
      </w:pPr>
      <w:bookmarkStart w:name="_Toc25915298" w:id="6"/>
      <w:r w:rsidRPr="00B72C03">
        <w:t>Gegenstand der Vereinbarung</w:t>
      </w:r>
      <w:bookmarkEnd w:id="6"/>
    </w:p>
    <w:p w:rsidRPr="00B72C03" w:rsidR="00EE439B" w:rsidP="00C12C92" w:rsidRDefault="00EE439B" w14:paraId="594BB57D" w14:textId="77777777">
      <w:pPr>
        <w:pStyle w:val="Level2"/>
        <w:numPr>
          <w:ilvl w:val="1"/>
          <w:numId w:val="16"/>
        </w:numPr>
      </w:pPr>
      <w:r w:rsidRPr="00B72C03">
        <w:t>Diese Vereinbarung regelt ausschließlich den Vorabstimmungsprozess (Phase 1), an dem die Vertragsparteien jeweils als EKP</w:t>
      </w:r>
      <w:r w:rsidRPr="00B72C03">
        <w:rPr>
          <w:vertAlign w:val="subscript"/>
        </w:rPr>
        <w:t>auf</w:t>
      </w:r>
      <w:r w:rsidRPr="00B72C03">
        <w:t xml:space="preserve"> oder EKP</w:t>
      </w:r>
      <w:r w:rsidRPr="00B72C03">
        <w:rPr>
          <w:vertAlign w:val="subscript"/>
        </w:rPr>
        <w:t>abg</w:t>
      </w:r>
      <w:r w:rsidRPr="00B72C03">
        <w:t xml:space="preserve"> teilnehmen. Hinsichtlich der übrigen Phasen schließen die Vertragsparteien – soweit notwendig – separate Vereinbarungen ab.</w:t>
      </w:r>
    </w:p>
    <w:p w:rsidRPr="00B72C03" w:rsidR="00EE439B" w:rsidP="00C12C92" w:rsidRDefault="00EE439B" w14:paraId="487E7232" w14:textId="77777777">
      <w:pPr>
        <w:pStyle w:val="Level2"/>
        <w:numPr>
          <w:ilvl w:val="1"/>
          <w:numId w:val="16"/>
        </w:numPr>
      </w:pPr>
      <w:r w:rsidRPr="00B72C03">
        <w:t>Die Vertragsparteien werden den in dieser Vereinbarung beschriebenen Prozess ab einem zwischen ihnen festgelegten Starttermin</w:t>
      </w:r>
      <w:r w:rsidRPr="00B72C03" w:rsidR="009E3841">
        <w:t xml:space="preserve"> </w:t>
      </w:r>
      <w:r w:rsidRPr="00B72C03">
        <w:t>durchführen.</w:t>
      </w:r>
    </w:p>
    <w:p w:rsidRPr="00B72C03" w:rsidR="00EE439B" w:rsidP="00E415CA" w:rsidRDefault="00EE439B" w14:paraId="35EFD6AF" w14:textId="732A8929">
      <w:pPr>
        <w:pStyle w:val="Level2"/>
        <w:numPr>
          <w:ilvl w:val="1"/>
          <w:numId w:val="16"/>
        </w:numPr>
      </w:pPr>
      <w:r w:rsidRPr="00B72C03">
        <w:t xml:space="preserve">Sofern die Vertragsparteien untereinander die elektronische </w:t>
      </w:r>
      <w:r w:rsidR="00E415CA">
        <w:t xml:space="preserve">Vorabstimmungsschnittstelle (WBCI) </w:t>
      </w:r>
      <w:r w:rsidRPr="00B72C03" w:rsidR="00E415CA">
        <w:t xml:space="preserve"> </w:t>
      </w:r>
      <w:r w:rsidRPr="00B72C03">
        <w:t>nutzen wollen, ist hierzu der Abschluss einer gesonderten Vereinbarung („</w:t>
      </w:r>
      <w:r w:rsidRPr="00E3317B" w:rsidR="00E415CA">
        <w:t>Zusatzvereinbarung über die Nutzung der elektronischen Vorabstimmungsschnittstelle (WBCI) zur Vereinbarung zur Durchführung der Vorabstimmung im Rahmen des Anbieterwechsels</w:t>
      </w:r>
      <w:r w:rsidRPr="00E3317B" w:rsidR="009C5293">
        <w:t>“</w:t>
      </w:r>
      <w:r w:rsidRPr="00B72C03" w:rsidR="00390B59">
        <w:t xml:space="preserve"> </w:t>
      </w:r>
      <w:r w:rsidRPr="00B72C03">
        <w:t>notwendig.</w:t>
      </w:r>
    </w:p>
    <w:p w:rsidRPr="00B72C03" w:rsidR="00EE439B" w:rsidP="00C12C92" w:rsidRDefault="00EE439B" w14:paraId="4D0BCE57" w14:textId="76AEED35">
      <w:pPr>
        <w:pStyle w:val="Level2"/>
        <w:numPr>
          <w:ilvl w:val="1"/>
          <w:numId w:val="16"/>
        </w:numPr>
      </w:pPr>
      <w:r w:rsidRPr="00B72C03">
        <w:t xml:space="preserve">Darüber hinaus vereinbaren die Vertragsparteien, im Rahmen der Abstimmungsprozesse nach den Regelungen in Ziffer </w:t>
      </w:r>
      <w:r w:rsidRPr="00B72C03" w:rsidR="009C5293">
        <w:t xml:space="preserve">4 </w:t>
      </w:r>
      <w:r w:rsidRPr="00B72C03">
        <w:t>der Anlage 2 zu handeln.</w:t>
      </w:r>
    </w:p>
    <w:p w:rsidRPr="00B72C03" w:rsidR="00EE439B" w:rsidP="000A21DC" w:rsidRDefault="00EE439B" w14:paraId="58F7C67B" w14:textId="77777777">
      <w:pPr>
        <w:pStyle w:val="Level1"/>
        <w:numPr>
          <w:ilvl w:val="0"/>
          <w:numId w:val="16"/>
        </w:numPr>
      </w:pPr>
      <w:bookmarkStart w:name="_Toc25915299" w:id="7"/>
      <w:r w:rsidRPr="00B72C03">
        <w:t>Vorabstimmung</w:t>
      </w:r>
      <w:bookmarkEnd w:id="7"/>
    </w:p>
    <w:p w:rsidRPr="00B72C03" w:rsidR="00EE439B" w:rsidP="0042215C" w:rsidRDefault="00EE439B" w14:paraId="34864596" w14:textId="77777777">
      <w:pPr>
        <w:pStyle w:val="Level2"/>
        <w:numPr>
          <w:ilvl w:val="1"/>
          <w:numId w:val="16"/>
        </w:numPr>
      </w:pPr>
      <w:r w:rsidRPr="00B72C03">
        <w:t>Die Vertragsparteien vereinbaren, die Vorabstimmung gemäß Ziffer 2 der Anlage 3 durchzuführen.</w:t>
      </w:r>
    </w:p>
    <w:p w:rsidRPr="00B72C03" w:rsidR="00EE439B" w:rsidP="0042215C" w:rsidRDefault="00EE439B" w14:paraId="1E284A5C" w14:textId="77777777">
      <w:pPr>
        <w:pStyle w:val="Level2"/>
        <w:numPr>
          <w:ilvl w:val="1"/>
          <w:numId w:val="16"/>
        </w:numPr>
      </w:pPr>
      <w:r w:rsidRPr="00B72C03">
        <w:t>Die Vorabstimmung ist bei den folgenden Geschäftsfällen anzuwenden:</w:t>
      </w:r>
    </w:p>
    <w:p w:rsidRPr="00B72C03" w:rsidR="00EE439B" w:rsidP="00EE439B" w:rsidRDefault="00EE439B" w14:paraId="0AB96E1D" w14:textId="5AF6D8FC">
      <w:pPr>
        <w:pStyle w:val="Recitals"/>
        <w:numPr>
          <w:ilvl w:val="1"/>
          <w:numId w:val="18"/>
        </w:numPr>
        <w:tabs>
          <w:tab w:val="clear" w:pos="2520"/>
          <w:tab w:val="num" w:pos="1276"/>
        </w:tabs>
        <w:ind w:left="1276" w:hanging="365"/>
      </w:pPr>
      <w:r w:rsidRPr="00B72C03">
        <w:rPr>
          <w:szCs w:val="20"/>
          <w:u w:val="single"/>
        </w:rPr>
        <w:t>Geschäftsfall 1:</w:t>
      </w:r>
      <w:r w:rsidRPr="00B72C03">
        <w:rPr>
          <w:szCs w:val="20"/>
        </w:rPr>
        <w:t xml:space="preserve"> Kündigung mit Rufnummernportierung und Auskunft über die technische Ressource</w:t>
      </w:r>
      <w:r w:rsidR="00E415CA">
        <w:rPr>
          <w:szCs w:val="20"/>
        </w:rPr>
        <w:t>,</w:t>
      </w:r>
      <w:r w:rsidRPr="00B72C03">
        <w:rPr>
          <w:szCs w:val="20"/>
        </w:rPr>
        <w:t xml:space="preserve"> sowie Mitteilung zur Übernahme der technischen Ressource. Die Beschreibung der Prozessschritte des Geschäftsfalls 1 ergibt sich aus Ziffer 2.2 der Anlage 3.</w:t>
      </w:r>
    </w:p>
    <w:p w:rsidRPr="00B72C03" w:rsidR="00EE439B" w:rsidP="00EE439B" w:rsidRDefault="00EE439B" w14:paraId="06C1F4FA" w14:textId="4AEF28B8">
      <w:pPr>
        <w:pStyle w:val="Recitals"/>
        <w:numPr>
          <w:ilvl w:val="1"/>
          <w:numId w:val="18"/>
        </w:numPr>
        <w:tabs>
          <w:tab w:val="clear" w:pos="2520"/>
          <w:tab w:val="num" w:pos="1276"/>
        </w:tabs>
        <w:ind w:left="1276" w:hanging="365"/>
      </w:pPr>
      <w:r w:rsidRPr="00B72C03">
        <w:rPr>
          <w:u w:val="single"/>
        </w:rPr>
        <w:t>Geschäftsfall 2:</w:t>
      </w:r>
      <w:r w:rsidRPr="00B72C03">
        <w:t xml:space="preserve"> Kündigung ohne Rufnummernportierung und Auskunft über die </w:t>
      </w:r>
      <w:r w:rsidRPr="00B72C03">
        <w:rPr>
          <w:szCs w:val="20"/>
        </w:rPr>
        <w:t>technische</w:t>
      </w:r>
      <w:r w:rsidRPr="00B72C03">
        <w:t xml:space="preserve"> Ressource</w:t>
      </w:r>
      <w:r w:rsidR="00E415CA">
        <w:t>,</w:t>
      </w:r>
      <w:r w:rsidRPr="00B72C03">
        <w:t xml:space="preserve"> sowie Mitteilung zur Übernahme der technischen Ressource. Die Beschreibung der Prozessschritte des Geschäftsfalls 2 ergibt sich aus Ziffer 2.2 der Anlage 3.</w:t>
      </w:r>
    </w:p>
    <w:p w:rsidRPr="00B72C03" w:rsidR="00EE439B" w:rsidP="00EE439B" w:rsidRDefault="00EE439B" w14:paraId="59DFD543" w14:textId="77777777">
      <w:pPr>
        <w:pStyle w:val="Recitals"/>
        <w:numPr>
          <w:ilvl w:val="1"/>
          <w:numId w:val="18"/>
        </w:numPr>
        <w:tabs>
          <w:tab w:val="clear" w:pos="2520"/>
          <w:tab w:val="num" w:pos="1276"/>
        </w:tabs>
        <w:ind w:left="1276" w:hanging="365"/>
      </w:pPr>
      <w:r w:rsidRPr="00B72C03">
        <w:rPr>
          <w:u w:val="single"/>
        </w:rPr>
        <w:t>Geschäftsfall 3:</w:t>
      </w:r>
      <w:r w:rsidRPr="00B72C03">
        <w:t xml:space="preserve"> Reine Rufnummernportierung. Die Beschreibung der Prozessschritte des Geschäftsfalls 3 ergibt sich aus Ziffer 2.2 der Anlage 3.</w:t>
      </w:r>
    </w:p>
    <w:p w:rsidRPr="00B72C03" w:rsidR="00EE439B" w:rsidP="00255E29" w:rsidRDefault="00EE439B" w14:paraId="7B055F40" w14:textId="77777777">
      <w:pPr>
        <w:pStyle w:val="Level2"/>
        <w:numPr>
          <w:ilvl w:val="1"/>
          <w:numId w:val="16"/>
        </w:numPr>
      </w:pPr>
      <w:bookmarkStart w:name="_Ref344969836" w:id="8"/>
      <w:r w:rsidRPr="00B72C03">
        <w:t>Die Vertragsparteien stimmen sich jeweils in der Rolle des EKP</w:t>
      </w:r>
      <w:r w:rsidRPr="00B72C03">
        <w:rPr>
          <w:vertAlign w:val="subscript"/>
        </w:rPr>
        <w:t>auf</w:t>
      </w:r>
      <w:r w:rsidRPr="00B72C03">
        <w:t xml:space="preserve"> oder des EKP</w:t>
      </w:r>
      <w:r w:rsidRPr="00B72C03">
        <w:rPr>
          <w:vertAlign w:val="subscript"/>
        </w:rPr>
        <w:t>abg</w:t>
      </w:r>
      <w:r w:rsidRPr="00B72C03">
        <w:t xml:space="preserve"> unter Anwendung der nachfolgend beschriebenen Prozesse über den Wechsel des Endkunden und/oder die Rufnummernportierung ab („</w:t>
      </w:r>
      <w:r w:rsidRPr="00B72C03">
        <w:rPr>
          <w:b/>
        </w:rPr>
        <w:t>Vorabstimmung</w:t>
      </w:r>
      <w:r w:rsidRPr="00B72C03">
        <w:t>). Der EKP</w:t>
      </w:r>
      <w:r w:rsidRPr="00B72C03">
        <w:rPr>
          <w:vertAlign w:val="subscript"/>
        </w:rPr>
        <w:t>auf</w:t>
      </w:r>
      <w:r w:rsidRPr="00B72C03">
        <w:t xml:space="preserve"> übermittelt hierzu im Auftrag des Endkunden folgende Endkundenerklärungen oder erklärt im Namen des Endkunden das Folgende an/gegenüber EKP</w:t>
      </w:r>
      <w:r w:rsidRPr="00B72C03">
        <w:rPr>
          <w:vertAlign w:val="subscript"/>
        </w:rPr>
        <w:t>abg</w:t>
      </w:r>
      <w:r w:rsidRPr="00A03BA2">
        <w:t>:</w:t>
      </w:r>
      <w:bookmarkEnd w:id="8"/>
    </w:p>
    <w:p w:rsidRPr="00B72C03" w:rsidR="00EE439B" w:rsidP="00EE439B" w:rsidRDefault="00EE439B" w14:paraId="18241A61" w14:textId="77777777">
      <w:pPr>
        <w:pStyle w:val="Recitals"/>
        <w:numPr>
          <w:ilvl w:val="1"/>
          <w:numId w:val="18"/>
        </w:numPr>
        <w:tabs>
          <w:tab w:val="clear" w:pos="2520"/>
          <w:tab w:val="num" w:pos="1276"/>
        </w:tabs>
        <w:ind w:left="1276" w:hanging="365"/>
      </w:pPr>
      <w:r w:rsidRPr="00B72C03">
        <w:t>die Endkundenkündigung des beim EKP</w:t>
      </w:r>
      <w:r w:rsidRPr="00B72C03">
        <w:rPr>
          <w:vertAlign w:val="subscript"/>
        </w:rPr>
        <w:t>abg</w:t>
      </w:r>
      <w:r w:rsidRPr="00B72C03">
        <w:t xml:space="preserve"> noch bestehenden Telekommunikationsanschlussvertrages und/oder</w:t>
      </w:r>
    </w:p>
    <w:p w:rsidRPr="00B72C03" w:rsidR="00EE439B" w:rsidP="00EE439B" w:rsidRDefault="00EE439B" w14:paraId="3C14C618" w14:textId="77777777">
      <w:pPr>
        <w:pStyle w:val="Recitals"/>
        <w:numPr>
          <w:ilvl w:val="1"/>
          <w:numId w:val="18"/>
        </w:numPr>
        <w:tabs>
          <w:tab w:val="clear" w:pos="2520"/>
          <w:tab w:val="num" w:pos="1276"/>
        </w:tabs>
        <w:ind w:left="1276" w:hanging="365"/>
      </w:pPr>
      <w:r w:rsidRPr="00B72C03">
        <w:t>den Rufnummernportierungsauftrag.</w:t>
      </w:r>
    </w:p>
    <w:p w:rsidRPr="00B72C03" w:rsidR="00EE439B" w:rsidP="0042215C" w:rsidRDefault="00EE439B" w14:paraId="04004BCE" w14:textId="77777777">
      <w:pPr>
        <w:pStyle w:val="Level2"/>
        <w:numPr>
          <w:ilvl w:val="1"/>
          <w:numId w:val="16"/>
        </w:numPr>
      </w:pPr>
      <w:r w:rsidRPr="00B72C03">
        <w:t>Damit der Endkunde möglichst unterbrechungsfrei wechseln kann, stimmen sich die Vertragsparteien jeweils als EKP</w:t>
      </w:r>
      <w:r w:rsidRPr="00B72C03">
        <w:rPr>
          <w:vertAlign w:val="subscript"/>
        </w:rPr>
        <w:t>auf</w:t>
      </w:r>
      <w:r w:rsidRPr="00B72C03">
        <w:t xml:space="preserve"> und EKP</w:t>
      </w:r>
      <w:r w:rsidRPr="00B72C03">
        <w:rPr>
          <w:vertAlign w:val="subscript"/>
        </w:rPr>
        <w:t>abg</w:t>
      </w:r>
      <w:r w:rsidRPr="00B72C03">
        <w:t xml:space="preserve"> über den Zeitpunkt der An- und Abschaltung der Telekommunikationsdienstleistungen für den Endkunden ab und tauschen hierzu die erforderlichen Informationen aus.</w:t>
      </w:r>
    </w:p>
    <w:p w:rsidRPr="00B72C03" w:rsidR="00EE439B" w:rsidP="0042215C" w:rsidRDefault="00EE439B" w14:paraId="1A68E372" w14:textId="77777777">
      <w:pPr>
        <w:pStyle w:val="Level2"/>
        <w:numPr>
          <w:ilvl w:val="1"/>
          <w:numId w:val="16"/>
        </w:numPr>
      </w:pPr>
      <w:r w:rsidRPr="00B72C03">
        <w:lastRenderedPageBreak/>
        <w:t>Die Vorabstimmung beginnt mit der Anfrage des EKP</w:t>
      </w:r>
      <w:r w:rsidRPr="00B72C03">
        <w:rPr>
          <w:vertAlign w:val="subscript"/>
        </w:rPr>
        <w:t>auf</w:t>
      </w:r>
      <w:r w:rsidRPr="00B72C03">
        <w:t xml:space="preserve"> an EKP</w:t>
      </w:r>
      <w:r w:rsidRPr="00B72C03">
        <w:rPr>
          <w:vertAlign w:val="subscript"/>
        </w:rPr>
        <w:t>abg</w:t>
      </w:r>
      <w:r w:rsidRPr="00B72C03">
        <w:t xml:space="preserve"> auf Basis des Endkundenwunsches und endet mit der verbindlichen Bestätigung des Wechseltermins durch eine positive Vorabstimmungsantwort oder durch eine begründete Ablehnung der Vorabstimmungsanfrage gegenüber EKP</w:t>
      </w:r>
      <w:r w:rsidRPr="00B72C03">
        <w:rPr>
          <w:vertAlign w:val="subscript"/>
        </w:rPr>
        <w:t>auf</w:t>
      </w:r>
      <w:r w:rsidRPr="00B72C03">
        <w:t>.</w:t>
      </w:r>
    </w:p>
    <w:p w:rsidRPr="00B72C03" w:rsidR="00EE439B" w:rsidP="0042215C" w:rsidRDefault="00EE439B" w14:paraId="44EA5C70" w14:textId="77777777">
      <w:pPr>
        <w:pStyle w:val="Level2"/>
        <w:numPr>
          <w:ilvl w:val="1"/>
          <w:numId w:val="16"/>
        </w:numPr>
      </w:pPr>
      <w:r w:rsidRPr="00B72C03">
        <w:t>Der Vorabstimmungsprozess untergliedert sich in folgende konsekutive Schritte:</w:t>
      </w:r>
    </w:p>
    <w:p w:rsidRPr="00B72C03" w:rsidR="00EE439B" w:rsidP="009239CD" w:rsidRDefault="00EE439B" w14:paraId="6DE90E39" w14:textId="5E93ECD9">
      <w:pPr>
        <w:pStyle w:val="Level3"/>
        <w:numPr>
          <w:ilvl w:val="2"/>
          <w:numId w:val="16"/>
        </w:numPr>
        <w:rPr>
          <w:sz w:val="20"/>
          <w:szCs w:val="20"/>
        </w:rPr>
      </w:pPr>
      <w:r w:rsidRPr="00B72C03">
        <w:rPr>
          <w:sz w:val="20"/>
          <w:szCs w:val="20"/>
          <w:u w:val="single"/>
        </w:rPr>
        <w:t>Schritt 1 – Vorabstimmungsanfrage:</w:t>
      </w:r>
      <w:r w:rsidRPr="00B72C03">
        <w:rPr>
          <w:sz w:val="20"/>
          <w:szCs w:val="20"/>
        </w:rPr>
        <w:t xml:space="preserve"> EKP</w:t>
      </w:r>
      <w:r w:rsidRPr="00B72C03">
        <w:rPr>
          <w:sz w:val="20"/>
          <w:szCs w:val="20"/>
          <w:vertAlign w:val="subscript"/>
        </w:rPr>
        <w:t>auf</w:t>
      </w:r>
      <w:r w:rsidRPr="00B72C03">
        <w:rPr>
          <w:sz w:val="20"/>
          <w:szCs w:val="20"/>
        </w:rPr>
        <w:t xml:space="preserve"> übermittelt die Vorabstimmungsanfrage an EKP</w:t>
      </w:r>
      <w:r w:rsidRPr="00B72C03">
        <w:rPr>
          <w:sz w:val="20"/>
          <w:szCs w:val="20"/>
          <w:vertAlign w:val="subscript"/>
        </w:rPr>
        <w:t>abg</w:t>
      </w:r>
      <w:r w:rsidRPr="00B72C03">
        <w:rPr>
          <w:sz w:val="20"/>
          <w:szCs w:val="20"/>
        </w:rPr>
        <w:t xml:space="preserve"> und gibt hierbei den gewünschten Geschäftsfall (z. B. Kündigung mit Rufnummernportierung und Auskunft über die technische Ressource</w:t>
      </w:r>
      <w:r w:rsidRPr="00B72C03" w:rsidR="0060052A">
        <w:rPr>
          <w:sz w:val="20"/>
          <w:szCs w:val="20"/>
          <w:lang w:val="de-DE"/>
        </w:rPr>
        <w:t>,</w:t>
      </w:r>
      <w:r w:rsidRPr="00B72C03">
        <w:rPr>
          <w:sz w:val="20"/>
          <w:szCs w:val="20"/>
        </w:rPr>
        <w:t xml:space="preserve"> sowie Mitteilung zur Übernahme der technischen Ressource) an. Die konkrete Ausformung der Vorabstimmungsanfrage richtet sich nach Ziffer 2.2 der Anlage 3, wobei die Vorabstimmungsanfrage die jeweils in Ziffer 2.2 der Anlage 3 im Feld „Kann/Muss“ als „Muss“ markierten Inhalte aufweisen muss. Nicht mit diesen Anforderungen konforme Vorabstimmungsanfragen kann EKP</w:t>
      </w:r>
      <w:r w:rsidRPr="00B72C03">
        <w:rPr>
          <w:sz w:val="20"/>
          <w:szCs w:val="20"/>
          <w:vertAlign w:val="subscript"/>
        </w:rPr>
        <w:t>abg</w:t>
      </w:r>
      <w:r w:rsidRPr="00B72C03">
        <w:rPr>
          <w:sz w:val="20"/>
          <w:szCs w:val="20"/>
        </w:rPr>
        <w:t xml:space="preserve"> gemäß den Vorgaben von Ziffer </w:t>
      </w:r>
      <w:r w:rsidRPr="00B72C03">
        <w:rPr>
          <w:sz w:val="20"/>
          <w:szCs w:val="20"/>
        </w:rPr>
        <w:fldChar w:fldCharType="begin"/>
      </w:r>
      <w:r w:rsidRPr="00B72C03">
        <w:rPr>
          <w:sz w:val="20"/>
          <w:szCs w:val="20"/>
        </w:rPr>
        <w:instrText xml:space="preserve"> REF _Ref340681056 \r \h </w:instrText>
      </w:r>
      <w:r w:rsidRPr="00B72C03" w:rsidR="00205241">
        <w:rPr>
          <w:sz w:val="20"/>
          <w:szCs w:val="20"/>
        </w:rPr>
        <w:instrText xml:space="preserve"> \* MERGEFORMAT </w:instrText>
      </w:r>
      <w:r w:rsidRPr="00B72C03">
        <w:rPr>
          <w:sz w:val="20"/>
          <w:szCs w:val="20"/>
        </w:rPr>
      </w:r>
      <w:r w:rsidRPr="00B72C03">
        <w:rPr>
          <w:sz w:val="20"/>
          <w:szCs w:val="20"/>
        </w:rPr>
        <w:fldChar w:fldCharType="separate"/>
      </w:r>
      <w:r w:rsidRPr="00B72C03" w:rsidR="00391649">
        <w:rPr>
          <w:sz w:val="20"/>
          <w:szCs w:val="20"/>
        </w:rPr>
        <w:t>2.6.2</w:t>
      </w:r>
      <w:r w:rsidRPr="00B72C03">
        <w:rPr>
          <w:sz w:val="20"/>
          <w:szCs w:val="20"/>
        </w:rPr>
        <w:fldChar w:fldCharType="end"/>
      </w:r>
      <w:r w:rsidRPr="00B72C03">
        <w:rPr>
          <w:sz w:val="20"/>
          <w:szCs w:val="20"/>
        </w:rPr>
        <w:t xml:space="preserve"> ablehnen.</w:t>
      </w:r>
    </w:p>
    <w:p w:rsidRPr="00B72C03" w:rsidR="00774FB1" w:rsidP="00204A82" w:rsidRDefault="00EE439B" w14:paraId="20D3A33C" w14:textId="41DCDFD5">
      <w:pPr>
        <w:pStyle w:val="Level3"/>
        <w:numPr>
          <w:ilvl w:val="2"/>
          <w:numId w:val="16"/>
        </w:numPr>
        <w:rPr>
          <w:i/>
          <w:sz w:val="20"/>
          <w:szCs w:val="20"/>
        </w:rPr>
      </w:pPr>
      <w:bookmarkStart w:name="_Ref340681056" w:id="9"/>
      <w:bookmarkStart w:name="_Ref340766933" w:id="10"/>
      <w:bookmarkStart w:name="_Ref128295266" w:id="11"/>
      <w:bookmarkStart w:name="_Ref123009567" w:id="12"/>
      <w:r w:rsidRPr="00B72C03">
        <w:rPr>
          <w:sz w:val="20"/>
          <w:szCs w:val="20"/>
          <w:u w:val="single"/>
        </w:rPr>
        <w:t>Schritt 2 – Vorabstimmungsantwort:</w:t>
      </w:r>
      <w:r w:rsidRPr="00B72C03">
        <w:rPr>
          <w:sz w:val="20"/>
          <w:szCs w:val="20"/>
        </w:rPr>
        <w:t xml:space="preserve"> EKP</w:t>
      </w:r>
      <w:r w:rsidRPr="00B72C03">
        <w:rPr>
          <w:sz w:val="20"/>
          <w:szCs w:val="20"/>
          <w:vertAlign w:val="subscript"/>
        </w:rPr>
        <w:t>abg</w:t>
      </w:r>
      <w:r w:rsidRPr="00B72C03">
        <w:rPr>
          <w:sz w:val="20"/>
          <w:szCs w:val="20"/>
        </w:rPr>
        <w:t xml:space="preserve"> übermittelt an EKP</w:t>
      </w:r>
      <w:r w:rsidRPr="00B72C03">
        <w:rPr>
          <w:sz w:val="20"/>
          <w:szCs w:val="20"/>
          <w:vertAlign w:val="subscript"/>
        </w:rPr>
        <w:t>auf</w:t>
      </w:r>
      <w:r w:rsidRPr="00B72C03">
        <w:rPr>
          <w:sz w:val="20"/>
          <w:szCs w:val="20"/>
        </w:rPr>
        <w:t xml:space="preserve"> die Vorabstimmungsantwort und erteilt hierbei auch Auskunft über die von ihm zur Versorgung des Endkunden eingesetzte technische Ressource (sofern EKP</w:t>
      </w:r>
      <w:r w:rsidRPr="00B72C03">
        <w:rPr>
          <w:sz w:val="20"/>
          <w:szCs w:val="20"/>
          <w:vertAlign w:val="subscript"/>
        </w:rPr>
        <w:t>auf</w:t>
      </w:r>
      <w:r w:rsidRPr="00B72C03">
        <w:rPr>
          <w:sz w:val="20"/>
          <w:szCs w:val="20"/>
        </w:rPr>
        <w:t xml:space="preserve"> nicht lediglich eine reine Rufnummernportierung anfragt). Die Vorabstimmungsantwort richtet sich nach Ziffer 2.2 der Anlage 3. Sie muss die jeweils in Ziffer 2.2 der Anlage 3 im Feld „Kann/Muss“ als „Muss“ gekennzeichneten Inhalte liefern. Die Fristen zur Erteilung der Vorabstimmungsantwort richten sich nach Ziffer 2.5 der Anlage 3. Die Rückmeldegründe bestimmen sich nach Ziffer 2.3 der Anlage 3.</w:t>
      </w:r>
      <w:bookmarkEnd w:id="9"/>
      <w:r w:rsidRPr="00B72C03">
        <w:rPr>
          <w:sz w:val="20"/>
          <w:szCs w:val="20"/>
        </w:rPr>
        <w:t xml:space="preserve"> EKP</w:t>
      </w:r>
      <w:r w:rsidRPr="00B72C03">
        <w:rPr>
          <w:sz w:val="20"/>
          <w:szCs w:val="20"/>
          <w:vertAlign w:val="subscript"/>
        </w:rPr>
        <w:t>abg</w:t>
      </w:r>
      <w:r w:rsidRPr="00B72C03">
        <w:rPr>
          <w:sz w:val="20"/>
          <w:szCs w:val="20"/>
        </w:rPr>
        <w:t xml:space="preserve"> stimmt der Vorabstimmungsanfrage immer zu, wenn seine Prüfung ergibt, dass die Endkundenkündigung wirksam ist und keiner der in Ziffer 2.3 der Anlage 3 festgelegten Ablehnungsgründe vorliegt. EKP</w:t>
      </w:r>
      <w:r w:rsidRPr="00B72C03">
        <w:rPr>
          <w:sz w:val="20"/>
          <w:szCs w:val="20"/>
          <w:vertAlign w:val="subscript"/>
        </w:rPr>
        <w:t>abg</w:t>
      </w:r>
      <w:r w:rsidRPr="00B72C03">
        <w:rPr>
          <w:sz w:val="20"/>
          <w:szCs w:val="20"/>
        </w:rPr>
        <w:t xml:space="preserve"> wendet hierbei die Prüflogik gemäß Ziffer 2.4 der Anlage 3 an. Auf etwaig abweichende Adressdaten bezüglich der technischen Ressource weist EKP</w:t>
      </w:r>
      <w:r w:rsidRPr="00B72C03">
        <w:rPr>
          <w:sz w:val="20"/>
          <w:szCs w:val="20"/>
          <w:vertAlign w:val="subscript"/>
        </w:rPr>
        <w:t>abg</w:t>
      </w:r>
      <w:r w:rsidRPr="00B72C03">
        <w:rPr>
          <w:sz w:val="20"/>
          <w:szCs w:val="20"/>
        </w:rPr>
        <w:t xml:space="preserve"> in der Zustimmung hin. </w:t>
      </w:r>
      <w:r w:rsidRPr="00B72C03">
        <w:rPr>
          <w:kern w:val="0"/>
          <w:sz w:val="20"/>
          <w:szCs w:val="20"/>
        </w:rPr>
        <w:t>EKP</w:t>
      </w:r>
      <w:r w:rsidRPr="00B72C03">
        <w:rPr>
          <w:kern w:val="0"/>
          <w:sz w:val="20"/>
          <w:szCs w:val="20"/>
          <w:vertAlign w:val="subscript"/>
        </w:rPr>
        <w:t>auf</w:t>
      </w:r>
      <w:r w:rsidRPr="00B72C03">
        <w:rPr>
          <w:kern w:val="0"/>
          <w:sz w:val="20"/>
          <w:szCs w:val="20"/>
        </w:rPr>
        <w:t xml:space="preserve"> darf </w:t>
      </w:r>
      <w:r w:rsidRPr="00B72C03">
        <w:rPr>
          <w:sz w:val="20"/>
          <w:szCs w:val="20"/>
        </w:rPr>
        <w:t>in den</w:t>
      </w:r>
      <w:r w:rsidRPr="00B72C03">
        <w:rPr>
          <w:kern w:val="0"/>
          <w:sz w:val="20"/>
          <w:szCs w:val="20"/>
        </w:rPr>
        <w:t xml:space="preserve"> weiteren Prozessschritte</w:t>
      </w:r>
      <w:r w:rsidRPr="00B72C03">
        <w:rPr>
          <w:sz w:val="20"/>
          <w:szCs w:val="20"/>
        </w:rPr>
        <w:t>n</w:t>
      </w:r>
      <w:r w:rsidRPr="00B72C03">
        <w:rPr>
          <w:kern w:val="0"/>
          <w:sz w:val="20"/>
          <w:szCs w:val="20"/>
        </w:rPr>
        <w:t xml:space="preserve"> der Ziffer </w:t>
      </w:r>
      <w:r w:rsidRPr="00B72C03">
        <w:rPr>
          <w:sz w:val="20"/>
          <w:szCs w:val="20"/>
        </w:rPr>
        <w:fldChar w:fldCharType="begin"/>
      </w:r>
      <w:r w:rsidRPr="00B72C03">
        <w:rPr>
          <w:sz w:val="20"/>
          <w:szCs w:val="20"/>
        </w:rPr>
        <w:instrText xml:space="preserve"> REF _Ref340850549 \r \h  \* MERGEFORMAT </w:instrText>
      </w:r>
      <w:r w:rsidRPr="00B72C03">
        <w:rPr>
          <w:sz w:val="20"/>
          <w:szCs w:val="20"/>
        </w:rPr>
      </w:r>
      <w:r w:rsidRPr="00B72C03">
        <w:rPr>
          <w:sz w:val="20"/>
          <w:szCs w:val="20"/>
        </w:rPr>
        <w:fldChar w:fldCharType="separate"/>
      </w:r>
      <w:r w:rsidRPr="00B72C03" w:rsidR="00391649">
        <w:rPr>
          <w:sz w:val="20"/>
          <w:szCs w:val="20"/>
        </w:rPr>
        <w:t>2.6.3</w:t>
      </w:r>
      <w:r w:rsidRPr="00B72C03">
        <w:rPr>
          <w:sz w:val="20"/>
          <w:szCs w:val="20"/>
        </w:rPr>
        <w:fldChar w:fldCharType="end"/>
      </w:r>
      <w:r w:rsidRPr="00B72C03">
        <w:rPr>
          <w:kern w:val="0"/>
          <w:sz w:val="20"/>
          <w:szCs w:val="20"/>
        </w:rPr>
        <w:t xml:space="preserve"> </w:t>
      </w:r>
      <w:r w:rsidRPr="00B72C03">
        <w:rPr>
          <w:sz w:val="20"/>
          <w:szCs w:val="20"/>
        </w:rPr>
        <w:t xml:space="preserve">eine positive Mitteilung zur Übernahme der technischen Ressource </w:t>
      </w:r>
      <w:r w:rsidRPr="00B72C03">
        <w:rPr>
          <w:kern w:val="0"/>
          <w:sz w:val="20"/>
          <w:szCs w:val="20"/>
        </w:rPr>
        <w:t>nur erteilen, wenn EKP</w:t>
      </w:r>
      <w:r w:rsidRPr="00B72C03">
        <w:rPr>
          <w:kern w:val="0"/>
          <w:sz w:val="20"/>
          <w:szCs w:val="20"/>
          <w:vertAlign w:val="subscript"/>
        </w:rPr>
        <w:t>auf</w:t>
      </w:r>
      <w:r w:rsidRPr="00B72C03">
        <w:rPr>
          <w:kern w:val="0"/>
          <w:sz w:val="20"/>
          <w:szCs w:val="20"/>
        </w:rPr>
        <w:t xml:space="preserve"> die Adressdaten des Endkunden geklärt hat und diese mit den von EKP</w:t>
      </w:r>
      <w:r w:rsidRPr="00B72C03">
        <w:rPr>
          <w:kern w:val="0"/>
          <w:sz w:val="20"/>
          <w:szCs w:val="20"/>
          <w:vertAlign w:val="subscript"/>
        </w:rPr>
        <w:t>abg</w:t>
      </w:r>
      <w:r w:rsidRPr="00B72C03">
        <w:rPr>
          <w:kern w:val="0"/>
          <w:sz w:val="20"/>
          <w:szCs w:val="20"/>
        </w:rPr>
        <w:t xml:space="preserve"> in der Rückmeldung genannten Adressdaten übereinstimmen.</w:t>
      </w:r>
      <w:bookmarkEnd w:id="10"/>
      <w:r w:rsidRPr="00B72C03" w:rsidR="00720A35">
        <w:rPr>
          <w:kern w:val="0"/>
          <w:sz w:val="20"/>
          <w:szCs w:val="20"/>
        </w:rPr>
        <w:t xml:space="preserve"> </w:t>
      </w:r>
      <w:r w:rsidRPr="00B72C03" w:rsidR="00720A35">
        <w:rPr>
          <w:sz w:val="20"/>
          <w:szCs w:val="20"/>
        </w:rPr>
        <w:t>Sofern EKP</w:t>
      </w:r>
      <w:r w:rsidRPr="00B72C03" w:rsidR="00720A35">
        <w:rPr>
          <w:kern w:val="0"/>
          <w:sz w:val="20"/>
          <w:szCs w:val="20"/>
          <w:vertAlign w:val="subscript"/>
        </w:rPr>
        <w:t>abg</w:t>
      </w:r>
      <w:r w:rsidRPr="00B72C03" w:rsidR="00720A35">
        <w:rPr>
          <w:sz w:val="20"/>
          <w:szCs w:val="20"/>
        </w:rPr>
        <w:t xml:space="preserve"> der Vorabstimmungsanfrage zustimmt, informiert er unverzüglich </w:t>
      </w:r>
      <w:r w:rsidRPr="00B72C03" w:rsidR="00720A35">
        <w:rPr>
          <w:bCs/>
          <w:sz w:val="20"/>
          <w:szCs w:val="20"/>
        </w:rPr>
        <w:t>seinen Teilnehmernetzbetreiber (TNB</w:t>
      </w:r>
      <w:r w:rsidRPr="00B72C03" w:rsidR="00720A35">
        <w:rPr>
          <w:kern w:val="0"/>
          <w:sz w:val="20"/>
          <w:szCs w:val="20"/>
          <w:vertAlign w:val="subscript"/>
        </w:rPr>
        <w:t>abg</w:t>
      </w:r>
      <w:r w:rsidRPr="00B72C03" w:rsidR="00720A35">
        <w:rPr>
          <w:bCs/>
          <w:sz w:val="20"/>
          <w:szCs w:val="20"/>
        </w:rPr>
        <w:t>)</w:t>
      </w:r>
      <w:r w:rsidRPr="00B72C03" w:rsidR="00720A35">
        <w:rPr>
          <w:sz w:val="20"/>
          <w:szCs w:val="20"/>
        </w:rPr>
        <w:t xml:space="preserve"> / Portierungskennungsinhaber (PKI</w:t>
      </w:r>
      <w:r w:rsidRPr="00B72C03" w:rsidR="00720A35">
        <w:rPr>
          <w:kern w:val="0"/>
          <w:sz w:val="20"/>
          <w:szCs w:val="20"/>
          <w:vertAlign w:val="subscript"/>
        </w:rPr>
        <w:t>abg</w:t>
      </w:r>
      <w:r w:rsidRPr="00B72C03" w:rsidR="00720A35">
        <w:rPr>
          <w:sz w:val="20"/>
          <w:szCs w:val="20"/>
        </w:rPr>
        <w:t xml:space="preserve">) über den bestätigten Wechseltermin und </w:t>
      </w:r>
      <w:r w:rsidRPr="00B72C03" w:rsidR="00330DAB">
        <w:rPr>
          <w:sz w:val="20"/>
          <w:szCs w:val="20"/>
        </w:rPr>
        <w:t>veranlasst</w:t>
      </w:r>
      <w:r w:rsidRPr="00B72C03" w:rsidR="00720A35">
        <w:rPr>
          <w:sz w:val="20"/>
          <w:szCs w:val="20"/>
        </w:rPr>
        <w:t>, dass dieser die mögliche Übernahme der technischen Ressource und die Portierung der Rufnummer(n) durch den EKP</w:t>
      </w:r>
      <w:r w:rsidRPr="00B72C03" w:rsidR="00720A35">
        <w:rPr>
          <w:kern w:val="0"/>
          <w:sz w:val="20"/>
          <w:szCs w:val="20"/>
          <w:vertAlign w:val="subscript"/>
        </w:rPr>
        <w:t>auf</w:t>
      </w:r>
      <w:r w:rsidRPr="00B72C03" w:rsidR="00720A35">
        <w:rPr>
          <w:sz w:val="20"/>
          <w:szCs w:val="20"/>
        </w:rPr>
        <w:t xml:space="preserve"> vormerkt. Sollte EKP</w:t>
      </w:r>
      <w:r w:rsidRPr="00B72C03" w:rsidR="00720A35">
        <w:rPr>
          <w:kern w:val="0"/>
          <w:sz w:val="20"/>
          <w:szCs w:val="20"/>
          <w:vertAlign w:val="subscript"/>
        </w:rPr>
        <w:t>abg</w:t>
      </w:r>
      <w:r w:rsidRPr="00B72C03" w:rsidR="00720A35">
        <w:rPr>
          <w:sz w:val="20"/>
          <w:szCs w:val="20"/>
        </w:rPr>
        <w:t xml:space="preserve"> schon eine Kündigung der technischen Ressource bei seinem TNB</w:t>
      </w:r>
      <w:r w:rsidRPr="00B72C03" w:rsidR="00720A35">
        <w:rPr>
          <w:kern w:val="0"/>
          <w:sz w:val="20"/>
          <w:szCs w:val="20"/>
          <w:vertAlign w:val="subscript"/>
        </w:rPr>
        <w:t>abg</w:t>
      </w:r>
      <w:r w:rsidRPr="00B72C03" w:rsidR="00720A35">
        <w:rPr>
          <w:sz w:val="20"/>
          <w:szCs w:val="20"/>
        </w:rPr>
        <w:t xml:space="preserve"> vorgenommen haben, muss EKP</w:t>
      </w:r>
      <w:r w:rsidRPr="00B72C03" w:rsidR="00720A35">
        <w:rPr>
          <w:kern w:val="0"/>
          <w:sz w:val="20"/>
          <w:szCs w:val="20"/>
          <w:vertAlign w:val="subscript"/>
        </w:rPr>
        <w:t>abg</w:t>
      </w:r>
      <w:r w:rsidRPr="00B72C03" w:rsidR="00720A35">
        <w:rPr>
          <w:sz w:val="20"/>
          <w:szCs w:val="20"/>
        </w:rPr>
        <w:t xml:space="preserve"> diese stornieren und </w:t>
      </w:r>
      <w:r w:rsidRPr="00B72C03" w:rsidR="00330DAB">
        <w:rPr>
          <w:sz w:val="20"/>
          <w:szCs w:val="20"/>
        </w:rPr>
        <w:t>veranlassen</w:t>
      </w:r>
      <w:r w:rsidRPr="00B72C03" w:rsidR="00720A35">
        <w:rPr>
          <w:sz w:val="20"/>
          <w:szCs w:val="20"/>
        </w:rPr>
        <w:t>, dass auch sein TNB</w:t>
      </w:r>
      <w:r w:rsidRPr="00B72C03" w:rsidR="00720A35">
        <w:rPr>
          <w:kern w:val="0"/>
          <w:sz w:val="20"/>
          <w:szCs w:val="20"/>
          <w:vertAlign w:val="subscript"/>
        </w:rPr>
        <w:t>abg</w:t>
      </w:r>
      <w:r w:rsidRPr="00B72C03" w:rsidR="00720A35">
        <w:rPr>
          <w:sz w:val="20"/>
          <w:szCs w:val="20"/>
        </w:rPr>
        <w:t xml:space="preserve"> eine etwaige, beim ANE erfolgte Kündigung der technischen Ressource storniert</w:t>
      </w:r>
      <w:r w:rsidRPr="00B72C03" w:rsidR="00CD1F0F">
        <w:rPr>
          <w:sz w:val="20"/>
          <w:szCs w:val="20"/>
        </w:rPr>
        <w:t xml:space="preserve"> und ggf</w:t>
      </w:r>
      <w:r w:rsidRPr="00B72C03" w:rsidR="00A80CDF">
        <w:rPr>
          <w:sz w:val="20"/>
          <w:szCs w:val="20"/>
        </w:rPr>
        <w:t>.</w:t>
      </w:r>
      <w:r w:rsidRPr="00B72C03" w:rsidR="00CD1F0F">
        <w:rPr>
          <w:sz w:val="20"/>
          <w:szCs w:val="20"/>
        </w:rPr>
        <w:t xml:space="preserve"> für einen späteren Kündigungstermin einstellt</w:t>
      </w:r>
      <w:r w:rsidRPr="00B72C03" w:rsidR="00720A35">
        <w:rPr>
          <w:sz w:val="20"/>
          <w:szCs w:val="20"/>
        </w:rPr>
        <w:t xml:space="preserve">, damit diese Kündigung den Anbieterwechsel nach den Vorschriften des TKG § </w:t>
      </w:r>
      <w:r w:rsidR="00A03BA2">
        <w:rPr>
          <w:sz w:val="20"/>
          <w:szCs w:val="20"/>
          <w:lang w:val="de-DE"/>
        </w:rPr>
        <w:t>59</w:t>
      </w:r>
      <w:r w:rsidRPr="00B72C03" w:rsidR="00A03BA2">
        <w:rPr>
          <w:sz w:val="20"/>
          <w:szCs w:val="20"/>
        </w:rPr>
        <w:t xml:space="preserve"> </w:t>
      </w:r>
      <w:r w:rsidRPr="00B72C03" w:rsidR="00720A35">
        <w:rPr>
          <w:sz w:val="20"/>
          <w:szCs w:val="20"/>
        </w:rPr>
        <w:t>nicht behindern kann.</w:t>
      </w:r>
      <w:r w:rsidRPr="00B72C03" w:rsidR="00764B42">
        <w:rPr>
          <w:sz w:val="20"/>
          <w:szCs w:val="20"/>
        </w:rPr>
        <w:t xml:space="preserve"> </w:t>
      </w:r>
      <w:r w:rsidRPr="00B72C03" w:rsidR="00B775E2">
        <w:rPr>
          <w:sz w:val="20"/>
          <w:szCs w:val="20"/>
        </w:rPr>
        <w:br/>
      </w:r>
      <w:r w:rsidRPr="00B72C03" w:rsidR="00204A82">
        <w:rPr>
          <w:sz w:val="20"/>
          <w:szCs w:val="20"/>
        </w:rPr>
        <w:t xml:space="preserve">EKPabg darf eine </w:t>
      </w:r>
      <w:r w:rsidRPr="00B72C03" w:rsidR="00764B42">
        <w:rPr>
          <w:sz w:val="20"/>
          <w:szCs w:val="20"/>
        </w:rPr>
        <w:t>Vorabstimmungs</w:t>
      </w:r>
      <w:r w:rsidRPr="00B72C03" w:rsidR="00204A82">
        <w:rPr>
          <w:sz w:val="20"/>
          <w:szCs w:val="20"/>
        </w:rPr>
        <w:t>anfrage</w:t>
      </w:r>
      <w:r w:rsidRPr="00B72C03" w:rsidR="00764B42">
        <w:rPr>
          <w:sz w:val="20"/>
          <w:szCs w:val="20"/>
        </w:rPr>
        <w:t xml:space="preserve"> </w:t>
      </w:r>
      <w:r w:rsidRPr="00B72C03" w:rsidR="00204A82">
        <w:rPr>
          <w:sz w:val="20"/>
          <w:szCs w:val="20"/>
        </w:rPr>
        <w:t xml:space="preserve">ablehnen, wenn diese </w:t>
      </w:r>
      <w:r w:rsidRPr="00B72C03" w:rsidR="00B775E2">
        <w:rPr>
          <w:sz w:val="20"/>
          <w:szCs w:val="20"/>
        </w:rPr>
        <w:t>sieben</w:t>
      </w:r>
      <w:r w:rsidRPr="00B72C03" w:rsidR="00764B42">
        <w:rPr>
          <w:sz w:val="20"/>
          <w:szCs w:val="20"/>
        </w:rPr>
        <w:t xml:space="preserve"> </w:t>
      </w:r>
      <w:r w:rsidRPr="00B72C03" w:rsidR="00D62052">
        <w:rPr>
          <w:sz w:val="20"/>
          <w:szCs w:val="20"/>
        </w:rPr>
        <w:t xml:space="preserve">oder weniger als </w:t>
      </w:r>
      <w:r w:rsidRPr="00B72C03" w:rsidR="00B775E2">
        <w:rPr>
          <w:sz w:val="20"/>
          <w:szCs w:val="20"/>
        </w:rPr>
        <w:t xml:space="preserve">sieben </w:t>
      </w:r>
      <w:r w:rsidRPr="00B72C03" w:rsidR="00764B42">
        <w:rPr>
          <w:sz w:val="20"/>
          <w:szCs w:val="20"/>
        </w:rPr>
        <w:t>A</w:t>
      </w:r>
      <w:r w:rsidRPr="00B72C03" w:rsidR="00495563">
        <w:rPr>
          <w:sz w:val="20"/>
          <w:szCs w:val="20"/>
        </w:rPr>
        <w:t>rbeitstage („</w:t>
      </w:r>
      <w:r w:rsidRPr="00B72C03" w:rsidR="00495563">
        <w:rPr>
          <w:b/>
          <w:sz w:val="20"/>
          <w:szCs w:val="20"/>
        </w:rPr>
        <w:t>Arbeitstage</w:t>
      </w:r>
      <w:r w:rsidRPr="00B72C03" w:rsidR="00495563">
        <w:rPr>
          <w:sz w:val="20"/>
          <w:szCs w:val="20"/>
        </w:rPr>
        <w:t>“</w:t>
      </w:r>
      <w:r w:rsidRPr="00B72C03" w:rsidR="00D26AF5">
        <w:rPr>
          <w:sz w:val="20"/>
          <w:szCs w:val="20"/>
          <w:lang w:val="de-DE"/>
        </w:rPr>
        <w:t xml:space="preserve"> </w:t>
      </w:r>
      <w:r w:rsidRPr="00B72C03" w:rsidR="00495563">
        <w:rPr>
          <w:sz w:val="20"/>
          <w:szCs w:val="20"/>
        </w:rPr>
        <w:t>sind nur Tage von Montag bis einschließlich Freitag, auf die kein gesetzlicher bundeseinheitlicher</w:t>
      </w:r>
      <w:r w:rsidRPr="00B72C03" w:rsidR="00B775E2">
        <w:rPr>
          <w:sz w:val="20"/>
          <w:szCs w:val="20"/>
        </w:rPr>
        <w:t xml:space="preserve"> oder gesetzlicher regionaler</w:t>
      </w:r>
      <w:r w:rsidRPr="00B72C03" w:rsidR="00495563">
        <w:rPr>
          <w:sz w:val="20"/>
          <w:szCs w:val="20"/>
        </w:rPr>
        <w:t xml:space="preserve"> Feiertag fällt) </w:t>
      </w:r>
      <w:r w:rsidRPr="00B72C03" w:rsidR="00764B42">
        <w:rPr>
          <w:sz w:val="20"/>
          <w:szCs w:val="20"/>
        </w:rPr>
        <w:t xml:space="preserve">vor dem </w:t>
      </w:r>
      <w:r w:rsidRPr="00B72C03" w:rsidR="00204A82">
        <w:rPr>
          <w:sz w:val="20"/>
          <w:szCs w:val="20"/>
        </w:rPr>
        <w:t>Kündigungste</w:t>
      </w:r>
      <w:r w:rsidRPr="00B72C03" w:rsidR="00495563">
        <w:rPr>
          <w:sz w:val="20"/>
          <w:szCs w:val="20"/>
        </w:rPr>
        <w:t>r</w:t>
      </w:r>
      <w:r w:rsidRPr="00B72C03" w:rsidR="00204A82">
        <w:rPr>
          <w:sz w:val="20"/>
          <w:szCs w:val="20"/>
        </w:rPr>
        <w:t>min bei diesem eingeh</w:t>
      </w:r>
      <w:r w:rsidRPr="00B72C03" w:rsidR="00495563">
        <w:rPr>
          <w:sz w:val="20"/>
          <w:szCs w:val="20"/>
        </w:rPr>
        <w:t>t</w:t>
      </w:r>
      <w:r w:rsidRPr="00B72C03" w:rsidR="00495563">
        <w:rPr>
          <w:i/>
          <w:sz w:val="20"/>
          <w:szCs w:val="20"/>
        </w:rPr>
        <w:t>.</w:t>
      </w:r>
    </w:p>
    <w:p w:rsidRPr="00B72C03" w:rsidR="00EE439B" w:rsidP="00204A82" w:rsidRDefault="00EE439B" w14:paraId="7229F874" w14:textId="5183C49F">
      <w:pPr>
        <w:pStyle w:val="Level3"/>
        <w:numPr>
          <w:ilvl w:val="2"/>
          <w:numId w:val="16"/>
        </w:numPr>
        <w:rPr>
          <w:sz w:val="20"/>
          <w:szCs w:val="20"/>
        </w:rPr>
      </w:pPr>
      <w:bookmarkStart w:name="_Ref340850549" w:id="13"/>
      <w:r w:rsidRPr="00B72C03">
        <w:rPr>
          <w:sz w:val="20"/>
          <w:szCs w:val="20"/>
          <w:u w:val="single"/>
        </w:rPr>
        <w:t>Schritt 3 – Mitteilung zur Übernahme der technischen Ressource:</w:t>
      </w:r>
      <w:r w:rsidRPr="00B72C03">
        <w:rPr>
          <w:sz w:val="20"/>
          <w:szCs w:val="20"/>
        </w:rPr>
        <w:t xml:space="preserve"> Hierbei teilt EKP</w:t>
      </w:r>
      <w:r w:rsidRPr="00B72C03">
        <w:rPr>
          <w:sz w:val="20"/>
          <w:szCs w:val="20"/>
          <w:vertAlign w:val="subscript"/>
        </w:rPr>
        <w:t>auf</w:t>
      </w:r>
      <w:r w:rsidRPr="00B72C03">
        <w:rPr>
          <w:sz w:val="20"/>
          <w:szCs w:val="20"/>
        </w:rPr>
        <w:t xml:space="preserve"> EKP</w:t>
      </w:r>
      <w:r w:rsidRPr="00B72C03">
        <w:rPr>
          <w:sz w:val="20"/>
          <w:szCs w:val="20"/>
          <w:vertAlign w:val="subscript"/>
        </w:rPr>
        <w:t>abg</w:t>
      </w:r>
      <w:r w:rsidRPr="00B72C03">
        <w:rPr>
          <w:sz w:val="20"/>
          <w:szCs w:val="20"/>
        </w:rPr>
        <w:t xml:space="preserve"> mit, ob er die technische Ressource – ggf. über seinen Vorleistungslieferanten (aufnehmender Teilnehmernetzbetreiber „</w:t>
      </w:r>
      <w:r w:rsidRPr="00B72C03">
        <w:rPr>
          <w:b/>
          <w:sz w:val="20"/>
          <w:szCs w:val="20"/>
        </w:rPr>
        <w:t>TNB</w:t>
      </w:r>
      <w:r w:rsidRPr="00B72C03">
        <w:rPr>
          <w:b/>
          <w:sz w:val="20"/>
          <w:szCs w:val="20"/>
          <w:vertAlign w:val="subscript"/>
        </w:rPr>
        <w:t>auf</w:t>
      </w:r>
      <w:r w:rsidRPr="00B72C03">
        <w:rPr>
          <w:sz w:val="20"/>
          <w:szCs w:val="20"/>
        </w:rPr>
        <w:t xml:space="preserve">“) – auf </w:t>
      </w:r>
      <w:r w:rsidRPr="00B72C03">
        <w:rPr>
          <w:sz w:val="20"/>
          <w:szCs w:val="20"/>
        </w:rPr>
        <w:lastRenderedPageBreak/>
        <w:t>Basis einer separaten Vereinbarung vom Anschlussnetzeigentümer („</w:t>
      </w:r>
      <w:r w:rsidRPr="00B72C03">
        <w:rPr>
          <w:b/>
          <w:sz w:val="20"/>
          <w:szCs w:val="20"/>
        </w:rPr>
        <w:t>ANE</w:t>
      </w:r>
      <w:r w:rsidRPr="00B72C03">
        <w:rPr>
          <w:sz w:val="20"/>
          <w:szCs w:val="20"/>
        </w:rPr>
        <w:t>“) beziehen will</w:t>
      </w:r>
      <w:r w:rsidR="009C0CF5">
        <w:rPr>
          <w:sz w:val="20"/>
          <w:szCs w:val="20"/>
          <w:lang w:val="de-DE"/>
        </w:rPr>
        <w:t>.</w:t>
      </w:r>
      <w:r w:rsidRPr="00B72C03">
        <w:rPr>
          <w:sz w:val="20"/>
          <w:szCs w:val="20"/>
        </w:rPr>
        <w:t xml:space="preserve"> Auf Basis dieser Mitteilungen leiten EKP</w:t>
      </w:r>
      <w:r w:rsidRPr="00B72C03">
        <w:rPr>
          <w:sz w:val="20"/>
          <w:szCs w:val="20"/>
          <w:vertAlign w:val="subscript"/>
        </w:rPr>
        <w:t>abg</w:t>
      </w:r>
      <w:r w:rsidRPr="00B72C03">
        <w:rPr>
          <w:sz w:val="20"/>
          <w:szCs w:val="20"/>
        </w:rPr>
        <w:t xml:space="preserve"> und TNB</w:t>
      </w:r>
      <w:r w:rsidRPr="00B72C03">
        <w:rPr>
          <w:sz w:val="20"/>
          <w:szCs w:val="20"/>
          <w:vertAlign w:val="subscript"/>
        </w:rPr>
        <w:t>abg</w:t>
      </w:r>
      <w:r w:rsidRPr="00B72C03">
        <w:rPr>
          <w:sz w:val="20"/>
          <w:szCs w:val="20"/>
        </w:rPr>
        <w:t xml:space="preserve"> die notwendigen Schritte zur Abschaltung </w:t>
      </w:r>
      <w:r w:rsidRPr="00B72C03" w:rsidR="00A47303">
        <w:rPr>
          <w:sz w:val="20"/>
          <w:szCs w:val="20"/>
        </w:rPr>
        <w:t>oder zu</w:t>
      </w:r>
      <w:r w:rsidRPr="00B72C03" w:rsidR="000F28C5">
        <w:rPr>
          <w:sz w:val="20"/>
          <w:szCs w:val="20"/>
        </w:rPr>
        <w:t>r</w:t>
      </w:r>
      <w:r w:rsidRPr="00B72C03" w:rsidR="00A47303">
        <w:rPr>
          <w:sz w:val="20"/>
          <w:szCs w:val="20"/>
        </w:rPr>
        <w:t xml:space="preserve"> </w:t>
      </w:r>
      <w:r w:rsidRPr="00B72C03" w:rsidR="000F28C5">
        <w:rPr>
          <w:sz w:val="20"/>
          <w:szCs w:val="20"/>
        </w:rPr>
        <w:t>Übernahme</w:t>
      </w:r>
      <w:r w:rsidRPr="00B72C03" w:rsidR="00A47303">
        <w:rPr>
          <w:sz w:val="20"/>
          <w:szCs w:val="20"/>
        </w:rPr>
        <w:t xml:space="preserve"> </w:t>
      </w:r>
      <w:r w:rsidRPr="00B72C03">
        <w:rPr>
          <w:sz w:val="20"/>
          <w:szCs w:val="20"/>
        </w:rPr>
        <w:t xml:space="preserve">der technischen Ressource ein (z. B. </w:t>
      </w:r>
      <w:r w:rsidRPr="00B72C03" w:rsidR="000F28C5">
        <w:rPr>
          <w:sz w:val="20"/>
          <w:szCs w:val="20"/>
        </w:rPr>
        <w:t xml:space="preserve">für Abschaltung: </w:t>
      </w:r>
      <w:r w:rsidRPr="00B72C03">
        <w:rPr>
          <w:sz w:val="20"/>
          <w:szCs w:val="20"/>
        </w:rPr>
        <w:t>Einstellung einer Kündigung der technischen Ressource beim ANE, sofern EKP</w:t>
      </w:r>
      <w:r w:rsidRPr="00B72C03">
        <w:rPr>
          <w:sz w:val="20"/>
          <w:szCs w:val="20"/>
          <w:vertAlign w:val="subscript"/>
        </w:rPr>
        <w:t>auf</w:t>
      </w:r>
      <w:r w:rsidRPr="00B72C03">
        <w:rPr>
          <w:sz w:val="20"/>
          <w:szCs w:val="20"/>
        </w:rPr>
        <w:t xml:space="preserve"> keine Übernahme der technischen Ressource wünscht</w:t>
      </w:r>
      <w:r w:rsidRPr="00B72C03" w:rsidR="000F28C5">
        <w:rPr>
          <w:sz w:val="20"/>
          <w:szCs w:val="20"/>
        </w:rPr>
        <w:t>).</w:t>
      </w:r>
      <w:r w:rsidRPr="00B72C03" w:rsidR="00A47303">
        <w:rPr>
          <w:sz w:val="20"/>
          <w:szCs w:val="20"/>
        </w:rPr>
        <w:t xml:space="preserve"> </w:t>
      </w:r>
      <w:bookmarkEnd w:id="13"/>
    </w:p>
    <w:p w:rsidRPr="00B72C03" w:rsidR="00EE439B" w:rsidP="00EE439B" w:rsidRDefault="00EE439B" w14:paraId="4F2D7B2B" w14:textId="77777777">
      <w:pPr>
        <w:pStyle w:val="Level4"/>
        <w:numPr>
          <w:ilvl w:val="3"/>
          <w:numId w:val="16"/>
        </w:numPr>
        <w:tabs>
          <w:tab w:val="num" w:pos="1701"/>
        </w:tabs>
        <w:ind w:left="1701" w:hanging="340"/>
      </w:pPr>
      <w:r w:rsidRPr="00B72C03">
        <w:t>Die Mitteilung zur Übernahme der technischen Ressource richtet sich nach Ziffer 2.1 der Anlage 3 und muss die in Ziffer 2.2 Anlage 3 in der jeweiligen Spalte „Kann/Muss“ genannten „Muss“-Inhalte enthalten.</w:t>
      </w:r>
    </w:p>
    <w:p w:rsidRPr="00B72C03" w:rsidR="00EE439B" w:rsidP="00EE439B" w:rsidRDefault="00EE439B" w14:paraId="1EDAF25F" w14:textId="77777777">
      <w:pPr>
        <w:pStyle w:val="Level4"/>
        <w:numPr>
          <w:ilvl w:val="3"/>
          <w:numId w:val="16"/>
        </w:numPr>
        <w:tabs>
          <w:tab w:val="num" w:pos="1701"/>
        </w:tabs>
        <w:ind w:left="1701" w:hanging="340"/>
      </w:pPr>
      <w:r w:rsidRPr="00B72C03">
        <w:t>EKP</w:t>
      </w:r>
      <w:r w:rsidRPr="00B72C03">
        <w:rPr>
          <w:vertAlign w:val="subscript"/>
        </w:rPr>
        <w:t>auf</w:t>
      </w:r>
      <w:r w:rsidRPr="00B72C03">
        <w:t xml:space="preserve"> stellt sicher, dass die Prozessschritte dieses Schrittes 3 zeitlich immer vor der Beauftragung der technischen Ressource bei ANE gemäß separater Vereinbarung erfolgen.</w:t>
      </w:r>
    </w:p>
    <w:p w:rsidRPr="00B72C03" w:rsidR="00EE439B" w:rsidP="00EE439B" w:rsidRDefault="00EE439B" w14:paraId="5090E081" w14:textId="77777777">
      <w:pPr>
        <w:pStyle w:val="Level4"/>
        <w:numPr>
          <w:ilvl w:val="3"/>
          <w:numId w:val="16"/>
        </w:numPr>
        <w:tabs>
          <w:tab w:val="num" w:pos="1701"/>
        </w:tabs>
        <w:ind w:left="1701" w:hanging="340"/>
      </w:pPr>
      <w:r w:rsidRPr="00B72C03">
        <w:t>Die in Schritt 3 beschriebenen Prozesse entfallen, wenn EKP</w:t>
      </w:r>
      <w:r w:rsidRPr="00B72C03">
        <w:rPr>
          <w:vertAlign w:val="subscript"/>
        </w:rPr>
        <w:t>auf</w:t>
      </w:r>
      <w:r w:rsidRPr="00B72C03">
        <w:t xml:space="preserve"> in der Vorabstimmungsanfrage angibt, dass er nur eine reine Rufnummernportierung wünscht.</w:t>
      </w:r>
    </w:p>
    <w:p w:rsidRPr="00B72C03" w:rsidR="00EE439B" w:rsidP="000A21DC" w:rsidRDefault="00EE439B" w14:paraId="6101A554" w14:textId="77777777">
      <w:pPr>
        <w:pStyle w:val="Level1"/>
        <w:numPr>
          <w:ilvl w:val="0"/>
          <w:numId w:val="16"/>
        </w:numPr>
        <w:rPr>
          <w:rFonts w:cs="Arial"/>
          <w:szCs w:val="22"/>
        </w:rPr>
      </w:pPr>
      <w:bookmarkStart w:name="_BPDC_LN_INS1010" w:id="14"/>
      <w:bookmarkStart w:name="_BPDC_LN_INS1009" w:id="15"/>
      <w:bookmarkStart w:name="_Toc276110210" w:id="16"/>
      <w:bookmarkStart w:name="_Toc276131896" w:id="17"/>
      <w:bookmarkStart w:name="_Toc25915300" w:id="18"/>
      <w:bookmarkEnd w:id="11"/>
      <w:bookmarkEnd w:id="12"/>
      <w:bookmarkEnd w:id="14"/>
      <w:bookmarkEnd w:id="15"/>
      <w:r w:rsidRPr="00B72C03">
        <w:rPr>
          <w:rFonts w:cs="Arial"/>
          <w:szCs w:val="22"/>
        </w:rPr>
        <w:t xml:space="preserve">Prozess für Vorabstimmungsanfrage bei Eigenkündigung des </w:t>
      </w:r>
      <w:bookmarkEnd w:id="16"/>
      <w:bookmarkEnd w:id="17"/>
      <w:r w:rsidRPr="00B72C03">
        <w:rPr>
          <w:rFonts w:cs="Arial"/>
          <w:szCs w:val="22"/>
        </w:rPr>
        <w:t>Endkunden</w:t>
      </w:r>
      <w:bookmarkEnd w:id="18"/>
    </w:p>
    <w:p w:rsidRPr="00B72C03" w:rsidR="00EE439B" w:rsidP="0079201C" w:rsidRDefault="00EE439B" w14:paraId="17307A02" w14:textId="77777777">
      <w:pPr>
        <w:pStyle w:val="Level2"/>
        <w:numPr>
          <w:ilvl w:val="1"/>
          <w:numId w:val="16"/>
        </w:numPr>
      </w:pPr>
      <w:r w:rsidRPr="00B72C03">
        <w:t>Die Vertragsparteien vereinbaren, dass eine bereits bei EKP</w:t>
      </w:r>
      <w:r w:rsidRPr="00B72C03">
        <w:rPr>
          <w:vertAlign w:val="subscript"/>
        </w:rPr>
        <w:t>abg</w:t>
      </w:r>
      <w:r w:rsidRPr="00B72C03">
        <w:t xml:space="preserve"> vor dem Zugang einer Vorabstimmungsanfrage des EKP</w:t>
      </w:r>
      <w:r w:rsidRPr="00B72C03">
        <w:rPr>
          <w:vertAlign w:val="subscript"/>
        </w:rPr>
        <w:t>auf</w:t>
      </w:r>
      <w:r w:rsidRPr="00B72C03">
        <w:t xml:space="preserve"> zugegangene Eigenkündigung des Endkunden einen unterbrechungsfreien Anbieterwechsel grundsätzlich nicht verhindern darf.</w:t>
      </w:r>
    </w:p>
    <w:p w:rsidRPr="00B72C03" w:rsidR="00EE439B" w:rsidP="002F0956" w:rsidRDefault="00EE439B" w14:paraId="39C5672F" w14:textId="77777777">
      <w:pPr>
        <w:pStyle w:val="Level2"/>
        <w:numPr>
          <w:ilvl w:val="1"/>
          <w:numId w:val="16"/>
        </w:numPr>
      </w:pPr>
      <w:r w:rsidRPr="00B72C03">
        <w:t>Die Vertragsparteien vereinbaren hierzu, dass für die Bearbeitung der an EKP</w:t>
      </w:r>
      <w:r w:rsidRPr="00B72C03">
        <w:rPr>
          <w:vertAlign w:val="subscript"/>
        </w:rPr>
        <w:t>abg</w:t>
      </w:r>
      <w:r w:rsidRPr="00B72C03">
        <w:t xml:space="preserve"> im Wege der Vorabstimmungsanfrage übermittelten Endkundenerklärung(en), der mit der Vorabstimmungsanfrage durch EKP</w:t>
      </w:r>
      <w:r w:rsidRPr="00B72C03">
        <w:rPr>
          <w:vertAlign w:val="subscript"/>
        </w:rPr>
        <w:t>auf</w:t>
      </w:r>
      <w:r w:rsidRPr="00B72C03">
        <w:t xml:space="preserve"> mitgeteilte Wechseltermin maßgeblich ist. Sie gehen hierbei davon aus, dass diese Endkundenerklärung(en) die jüngste(n) und eindeutig ist/sind.</w:t>
      </w:r>
    </w:p>
    <w:p w:rsidRPr="00B72C03" w:rsidR="00EE439B" w:rsidP="002F0956" w:rsidRDefault="00EE439B" w14:paraId="65144259" w14:textId="77777777">
      <w:pPr>
        <w:pStyle w:val="Level2"/>
        <w:numPr>
          <w:ilvl w:val="1"/>
          <w:numId w:val="16"/>
        </w:numPr>
      </w:pPr>
      <w:r w:rsidRPr="00B72C03">
        <w:t>Sofern der mittels Vorabstimmungsanfrage von EKP</w:t>
      </w:r>
      <w:r w:rsidRPr="00B72C03">
        <w:rPr>
          <w:vertAlign w:val="subscript"/>
        </w:rPr>
        <w:t>auf</w:t>
      </w:r>
      <w:r w:rsidRPr="00B72C03">
        <w:t xml:space="preserve"> übermittelte Wechselwunschtermin für die Rufnummernportierung mit dem von EKP</w:t>
      </w:r>
      <w:r w:rsidRPr="00B72C03">
        <w:rPr>
          <w:vertAlign w:val="subscript"/>
        </w:rPr>
        <w:t>abg</w:t>
      </w:r>
      <w:r w:rsidRPr="00B72C03">
        <w:t xml:space="preserve"> dem Endkunden bereits bestätigten Kündigungstermin übereinstimmt und die Vorabstimmungsanfrage mindestens </w:t>
      </w:r>
      <w:r w:rsidRPr="00B72C03" w:rsidR="004C1CB9">
        <w:t xml:space="preserve">sieben </w:t>
      </w:r>
      <w:r w:rsidRPr="00B72C03">
        <w:t>Arbeitstage vor diesem Termin bei EKP</w:t>
      </w:r>
      <w:r w:rsidRPr="00B72C03">
        <w:rPr>
          <w:vertAlign w:val="subscript"/>
        </w:rPr>
        <w:t>abg</w:t>
      </w:r>
      <w:r w:rsidRPr="00B72C03">
        <w:t xml:space="preserve"> zugeht, bestätigt EKP</w:t>
      </w:r>
      <w:r w:rsidRPr="00B72C03">
        <w:rPr>
          <w:vertAlign w:val="subscript"/>
        </w:rPr>
        <w:t>abg</w:t>
      </w:r>
      <w:r w:rsidRPr="00B72C03">
        <w:t xml:space="preserve"> die Rufnummernportierung zu diesem Termin.</w:t>
      </w:r>
    </w:p>
    <w:p w:rsidRPr="00B72C03" w:rsidR="00EE439B" w:rsidP="002F0956" w:rsidRDefault="00EE439B" w14:paraId="55424D16" w14:textId="5648E557">
      <w:pPr>
        <w:pStyle w:val="Level2"/>
        <w:numPr>
          <w:ilvl w:val="1"/>
          <w:numId w:val="16"/>
        </w:numPr>
      </w:pPr>
      <w:r w:rsidRPr="00B72C03">
        <w:t>Sollte der dem Endkunden bereits bestätigte Kündigungstermin auf keinen Schalttag („</w:t>
      </w:r>
      <w:r w:rsidRPr="00B72C03">
        <w:rPr>
          <w:b/>
        </w:rPr>
        <w:t>Schalttage</w:t>
      </w:r>
      <w:r w:rsidRPr="00B72C03">
        <w:t>“</w:t>
      </w:r>
      <w:r w:rsidRPr="00B72C03" w:rsidR="00390B59">
        <w:t>)</w:t>
      </w:r>
      <w:r w:rsidRPr="00B72C03">
        <w:t xml:space="preserve"> sind solche Arbeitstage, an denen an der jeweiligen Endkundenlokation kein bundeseinheitlicher oder regionaler Feiertag vorliegt) fallen, bestätigt EKP</w:t>
      </w:r>
      <w:r w:rsidRPr="00B72C03">
        <w:rPr>
          <w:vertAlign w:val="subscript"/>
        </w:rPr>
        <w:t>abg</w:t>
      </w:r>
      <w:r w:rsidRPr="00B72C03">
        <w:t xml:space="preserve"> die Rufnummernportierung zum nächst möglichen Schalttag. In diesem Fall versorgt EKP</w:t>
      </w:r>
      <w:r w:rsidRPr="00B72C03">
        <w:rPr>
          <w:vertAlign w:val="subscript"/>
        </w:rPr>
        <w:t>abg</w:t>
      </w:r>
      <w:r w:rsidRPr="00B72C03">
        <w:t xml:space="preserve"> den Endkunden – soweit gemäß § </w:t>
      </w:r>
      <w:r w:rsidR="0045675E">
        <w:t>59</w:t>
      </w:r>
      <w:r w:rsidRPr="00B72C03" w:rsidR="0045675E">
        <w:t xml:space="preserve"> </w:t>
      </w:r>
      <w:r w:rsidRPr="00B72C03">
        <w:t>TKG erforderlich – bis zum bestätigten Schalttag fort.</w:t>
      </w:r>
    </w:p>
    <w:p w:rsidRPr="00B72C03" w:rsidR="00EE439B" w:rsidP="002F0956" w:rsidRDefault="00EE439B" w14:paraId="6B942F63" w14:textId="77777777">
      <w:pPr>
        <w:pStyle w:val="Level2"/>
        <w:numPr>
          <w:ilvl w:val="1"/>
          <w:numId w:val="16"/>
        </w:numPr>
      </w:pPr>
      <w:r w:rsidRPr="00B72C03">
        <w:t>Sollte der in der Vorabstimmungsanfrage von EKP</w:t>
      </w:r>
      <w:r w:rsidRPr="00B72C03">
        <w:rPr>
          <w:vertAlign w:val="subscript"/>
        </w:rPr>
        <w:t>auf</w:t>
      </w:r>
      <w:r w:rsidRPr="00B72C03">
        <w:t xml:space="preserve"> für den Endkunden genannte Wechselwunschtermin zeitlich vor dem von EKP</w:t>
      </w:r>
      <w:r w:rsidRPr="00B72C03">
        <w:rPr>
          <w:vertAlign w:val="subscript"/>
        </w:rPr>
        <w:t>abg</w:t>
      </w:r>
      <w:r w:rsidRPr="00B72C03">
        <w:t xml:space="preserve"> dem Endkunden bereits bestätigten Kündigungstermin liegen und sollte EKP</w:t>
      </w:r>
      <w:r w:rsidRPr="00B72C03">
        <w:rPr>
          <w:vertAlign w:val="subscript"/>
        </w:rPr>
        <w:t>auf</w:t>
      </w:r>
      <w:r w:rsidRPr="00B72C03">
        <w:t xml:space="preserve"> für den Endkunden mit dieser Vorabstimmungsanfrage eine erneute wirksame Kündigung zu diesem früheren Termin ausgesprochen haben, bestätigt EKP</w:t>
      </w:r>
      <w:r w:rsidRPr="00B72C03">
        <w:rPr>
          <w:vertAlign w:val="subscript"/>
        </w:rPr>
        <w:t>abg</w:t>
      </w:r>
      <w:r w:rsidRPr="00B72C03">
        <w:t xml:space="preserve"> den Wechsel samt ggf. beauftragter Rufnummernportierung zu diesem früheren Termin. Sofern EKP</w:t>
      </w:r>
      <w:r w:rsidRPr="00B72C03">
        <w:rPr>
          <w:vertAlign w:val="subscript"/>
        </w:rPr>
        <w:t>auf</w:t>
      </w:r>
      <w:r w:rsidRPr="00B72C03">
        <w:t xml:space="preserve"> für den Endkunden im Wege </w:t>
      </w:r>
      <w:r w:rsidRPr="00B72C03" w:rsidR="00E254AB">
        <w:t xml:space="preserve">dieser </w:t>
      </w:r>
      <w:r w:rsidRPr="00B72C03">
        <w:t>Vorabstimmungsanfrage die Kündigung zum nächst möglichen Termin erklärt und eine Kündigung zu einem Termin vor dem bereits bestätigten Kündigungstermin möglich ist, bestätigt EKP</w:t>
      </w:r>
      <w:r w:rsidRPr="00B72C03">
        <w:rPr>
          <w:vertAlign w:val="subscript"/>
        </w:rPr>
        <w:t>abg</w:t>
      </w:r>
      <w:r w:rsidRPr="00B72C03">
        <w:t xml:space="preserve"> den nächst möglichen als Kündigungs- und </w:t>
      </w:r>
      <w:r w:rsidRPr="00B72C03" w:rsidR="00E254AB">
        <w:t xml:space="preserve">– </w:t>
      </w:r>
      <w:r w:rsidRPr="00B72C03">
        <w:t xml:space="preserve">soweit beauftragt </w:t>
      </w:r>
      <w:r w:rsidRPr="00B72C03" w:rsidR="00E254AB">
        <w:t xml:space="preserve">– </w:t>
      </w:r>
      <w:r w:rsidRPr="00B72C03">
        <w:t>als Rufnummernportierungstermin. Voraussetzung hierfür ist, dass die Vorabstimmungsanfrage von EKP</w:t>
      </w:r>
      <w:r w:rsidRPr="00B72C03">
        <w:rPr>
          <w:vertAlign w:val="subscript"/>
        </w:rPr>
        <w:t>auf</w:t>
      </w:r>
      <w:r w:rsidRPr="00B72C03">
        <w:t xml:space="preserve"> mindestens </w:t>
      </w:r>
      <w:r w:rsidRPr="00B72C03" w:rsidR="004C1CB9">
        <w:t xml:space="preserve">sieben </w:t>
      </w:r>
      <w:r w:rsidRPr="00B72C03">
        <w:t>Arbeitstage vor diesem Termin bei EKP</w:t>
      </w:r>
      <w:r w:rsidRPr="00B72C03">
        <w:rPr>
          <w:vertAlign w:val="subscript"/>
        </w:rPr>
        <w:t>abg</w:t>
      </w:r>
      <w:r w:rsidRPr="00B72C03">
        <w:t xml:space="preserve"> zugeht.</w:t>
      </w:r>
    </w:p>
    <w:p w:rsidRPr="00B72C03" w:rsidR="00EE439B" w:rsidP="002F0956" w:rsidRDefault="00EE439B" w14:paraId="2EEAE679" w14:textId="21E5A8F5">
      <w:pPr>
        <w:pStyle w:val="Level2"/>
        <w:numPr>
          <w:ilvl w:val="1"/>
          <w:numId w:val="16"/>
        </w:numPr>
        <w:rPr/>
      </w:pPr>
      <w:r w:rsidR="00EE439B">
        <w:rPr/>
        <w:t xml:space="preserve">Sollte der in der Vorabstimmungsanfrage von </w:t>
      </w:r>
      <w:proofErr w:type="spellStart"/>
      <w:r w:rsidR="00EE439B">
        <w:rPr/>
        <w:t>EKP</w:t>
      </w:r>
      <w:r w:rsidRPr="5D43C0DB" w:rsidR="00EE439B">
        <w:rPr>
          <w:vertAlign w:val="subscript"/>
        </w:rPr>
        <w:t>auf</w:t>
      </w:r>
      <w:proofErr w:type="spellEnd"/>
      <w:r w:rsidR="00EE439B">
        <w:rPr/>
        <w:t xml:space="preserve"> für den Endkunden genannte Wechselwunschtermin zeitlich nach dem von </w:t>
      </w:r>
      <w:proofErr w:type="spellStart"/>
      <w:r w:rsidR="00EE439B">
        <w:rPr/>
        <w:t>EKP</w:t>
      </w:r>
      <w:r w:rsidRPr="5D43C0DB" w:rsidR="00EE439B">
        <w:rPr>
          <w:vertAlign w:val="subscript"/>
        </w:rPr>
        <w:t>abg</w:t>
      </w:r>
      <w:proofErr w:type="spellEnd"/>
      <w:r w:rsidR="00EE439B">
        <w:rPr/>
        <w:t xml:space="preserve"> dem Endkunden bereits bestätigten Kündigungstermin liegen, bestätigt </w:t>
      </w:r>
      <w:proofErr w:type="spellStart"/>
      <w:r w:rsidR="00EE439B">
        <w:rPr/>
        <w:t>EKP</w:t>
      </w:r>
      <w:r w:rsidRPr="5D43C0DB" w:rsidR="00EE439B">
        <w:rPr>
          <w:vertAlign w:val="subscript"/>
        </w:rPr>
        <w:t>abg</w:t>
      </w:r>
      <w:proofErr w:type="spellEnd"/>
      <w:r w:rsidR="00EE439B">
        <w:rPr/>
        <w:t xml:space="preserve"> den Wechsel samt ggf. beauftragter Rufnummernportierung zu diesem späteren Termin, sofern die Vorabstimmungsanfrage mindestens </w:t>
      </w:r>
      <w:r w:rsidR="004C1CB9">
        <w:rPr/>
        <w:t xml:space="preserve">sieben </w:t>
      </w:r>
      <w:r w:rsidR="00EE439B">
        <w:rPr/>
        <w:t xml:space="preserve">Arbeitstage vor diesem Termin </w:t>
      </w:r>
      <w:proofErr w:type="spellStart"/>
      <w:r w:rsidR="00EE439B">
        <w:rPr/>
        <w:t>EKP</w:t>
      </w:r>
      <w:r w:rsidRPr="5D43C0DB" w:rsidR="00EE439B">
        <w:rPr>
          <w:vertAlign w:val="subscript"/>
        </w:rPr>
        <w:t>abg</w:t>
      </w:r>
      <w:proofErr w:type="spellEnd"/>
      <w:r w:rsidR="00EE439B">
        <w:rPr/>
        <w:t xml:space="preserve"> </w:t>
      </w:r>
      <w:r w:rsidR="00E254AB">
        <w:rPr/>
        <w:t xml:space="preserve">zugeht </w:t>
      </w:r>
      <w:r w:rsidR="00EE439B">
        <w:rPr/>
        <w:t xml:space="preserve">und der spätere Termin und ursprünglicher Termin nicht mehr als einen Monat auseinander liegen. Sofern </w:t>
      </w:r>
      <w:proofErr w:type="spellStart"/>
      <w:r w:rsidR="00EE439B">
        <w:rPr/>
        <w:t>EKP</w:t>
      </w:r>
      <w:r w:rsidRPr="5D43C0DB" w:rsidR="00EE439B">
        <w:rPr>
          <w:vertAlign w:val="subscript"/>
        </w:rPr>
        <w:t>auf</w:t>
      </w:r>
      <w:proofErr w:type="spellEnd"/>
      <w:r w:rsidR="00EE439B">
        <w:rPr/>
        <w:t xml:space="preserve"> die </w:t>
      </w:r>
      <w:r w:rsidR="004C1CB9">
        <w:rPr/>
        <w:t>sieben</w:t>
      </w:r>
      <w:r w:rsidR="00EE439B">
        <w:rPr/>
        <w:t>tä</w:t>
      </w:r>
      <w:r w:rsidR="00390B59">
        <w:rPr/>
        <w:t>g</w:t>
      </w:r>
      <w:r w:rsidR="00EE439B">
        <w:rPr/>
        <w:t xml:space="preserve">ige Vorlauffrist unterschreitet, kann der Endkunde ggf. über </w:t>
      </w:r>
      <w:proofErr w:type="spellStart"/>
      <w:r w:rsidR="00EE439B">
        <w:rPr/>
        <w:t>EKP</w:t>
      </w:r>
      <w:r w:rsidRPr="5D43C0DB" w:rsidR="00EE439B">
        <w:rPr>
          <w:vertAlign w:val="subscript"/>
        </w:rPr>
        <w:t>auf</w:t>
      </w:r>
      <w:proofErr w:type="spellEnd"/>
      <w:r w:rsidR="00EE439B">
        <w:rPr/>
        <w:t xml:space="preserve"> die nachträgliche Rufnummernportierung beauftragen. Fragt </w:t>
      </w:r>
      <w:proofErr w:type="spellStart"/>
      <w:r w:rsidR="00EE439B">
        <w:rPr/>
        <w:t>EKP</w:t>
      </w:r>
      <w:r w:rsidRPr="5D43C0DB" w:rsidR="00EE439B">
        <w:rPr>
          <w:vertAlign w:val="subscript"/>
        </w:rPr>
        <w:t>auf</w:t>
      </w:r>
      <w:proofErr w:type="spellEnd"/>
      <w:r w:rsidR="00EE439B">
        <w:rPr/>
        <w:t xml:space="preserve"> in der Vorabstimmungsanfrage einen Termin an, der mehr als einen Monat nach dem Endkunden bestätigten Kündigungstermin liegt, stimmt </w:t>
      </w:r>
      <w:proofErr w:type="spellStart"/>
      <w:r w:rsidR="00EE439B">
        <w:rPr/>
        <w:t>EKP</w:t>
      </w:r>
      <w:r w:rsidRPr="5D43C0DB" w:rsidR="00EE439B">
        <w:rPr>
          <w:vertAlign w:val="subscript"/>
        </w:rPr>
        <w:t>abg</w:t>
      </w:r>
      <w:proofErr w:type="spellEnd"/>
      <w:r w:rsidR="00EE439B">
        <w:rPr/>
        <w:t xml:space="preserve"> der Vorabstimmungsanfrage von </w:t>
      </w:r>
      <w:proofErr w:type="spellStart"/>
      <w:r w:rsidR="00EE439B">
        <w:rPr/>
        <w:t>EKP</w:t>
      </w:r>
      <w:r w:rsidRPr="5D43C0DB" w:rsidR="00EE439B">
        <w:rPr>
          <w:vertAlign w:val="subscript"/>
        </w:rPr>
        <w:t>auf</w:t>
      </w:r>
      <w:proofErr w:type="spellEnd"/>
      <w:r w:rsidR="00EE439B">
        <w:rPr/>
        <w:t xml:space="preserve"> zu </w:t>
      </w:r>
      <w:r w:rsidR="00EE439B">
        <w:rPr/>
        <w:t>diesem Termin</w:t>
      </w:r>
      <w:r w:rsidR="00EE439B">
        <w:rPr/>
        <w:t xml:space="preserve"> zu, sofern dies gemäß § </w:t>
      </w:r>
      <w:r w:rsidR="008A6B61">
        <w:rPr/>
        <w:t>59</w:t>
      </w:r>
      <w:r w:rsidR="008A6B61">
        <w:rPr/>
        <w:t xml:space="preserve"> </w:t>
      </w:r>
      <w:r w:rsidR="00EE439B">
        <w:rPr/>
        <w:t xml:space="preserve">Absatz </w:t>
      </w:r>
      <w:r w:rsidR="008A6B61">
        <w:rPr/>
        <w:t>2</w:t>
      </w:r>
      <w:r w:rsidR="008A6B61">
        <w:rPr/>
        <w:t xml:space="preserve"> </w:t>
      </w:r>
      <w:r w:rsidR="00EE439B">
        <w:rPr/>
        <w:t>TKG erforderlich ist.</w:t>
      </w:r>
    </w:p>
    <w:p w:rsidRPr="00B72C03" w:rsidR="00EE439B" w:rsidP="00CA1018" w:rsidRDefault="00EE439B" w14:paraId="04986D07" w14:textId="77777777">
      <w:pPr>
        <w:pStyle w:val="Level1"/>
        <w:numPr>
          <w:ilvl w:val="0"/>
          <w:numId w:val="16"/>
        </w:numPr>
      </w:pPr>
      <w:bookmarkStart w:name="_Toc25915301" w:id="19"/>
      <w:r w:rsidRPr="00B72C03">
        <w:t>Aufhebung oder Änderung des positiven Vorabstimmungsergebnisses oder einer Vorabstimmungsanfrage</w:t>
      </w:r>
      <w:bookmarkEnd w:id="19"/>
    </w:p>
    <w:p w:rsidRPr="00B72C03" w:rsidR="00EE439B" w:rsidP="00BE05F3" w:rsidRDefault="00EE439B" w14:paraId="669B5A71" w14:textId="3D8A0133">
      <w:pPr>
        <w:pStyle w:val="Body1"/>
      </w:pPr>
      <w:r w:rsidRPr="00B72C03">
        <w:t>Die Änderung oder Aufhebung des zwischen EKP</w:t>
      </w:r>
      <w:r w:rsidRPr="00B72C03">
        <w:rPr>
          <w:vertAlign w:val="subscript"/>
        </w:rPr>
        <w:t>auf</w:t>
      </w:r>
      <w:r w:rsidRPr="00B72C03">
        <w:t xml:space="preserve"> und EKP</w:t>
      </w:r>
      <w:r w:rsidRPr="00B72C03">
        <w:rPr>
          <w:vertAlign w:val="subscript"/>
        </w:rPr>
        <w:t>abg</w:t>
      </w:r>
      <w:r w:rsidRPr="00B72C03">
        <w:t xml:space="preserve"> erzielten Vorabstimmungsergebnisses sowohl durch EKP</w:t>
      </w:r>
      <w:r w:rsidRPr="00B72C03">
        <w:rPr>
          <w:vertAlign w:val="subscript"/>
        </w:rPr>
        <w:t>auf</w:t>
      </w:r>
      <w:r w:rsidRPr="00B72C03" w:rsidR="00534C4F">
        <w:t xml:space="preserve">, </w:t>
      </w:r>
      <w:r w:rsidRPr="00B72C03">
        <w:t>als auch durch EKP</w:t>
      </w:r>
      <w:r w:rsidRPr="00B72C03">
        <w:rPr>
          <w:vertAlign w:val="subscript"/>
        </w:rPr>
        <w:t>abg</w:t>
      </w:r>
      <w:r w:rsidRPr="00B72C03">
        <w:t xml:space="preserve"> ist nur im Wege der in Ziffer </w:t>
      </w:r>
      <w:r w:rsidRPr="00B72C03" w:rsidR="00D26AF5">
        <w:t>2.</w:t>
      </w:r>
      <w:r w:rsidR="008A6B61">
        <w:t>9</w:t>
      </w:r>
      <w:r w:rsidRPr="00B72C03">
        <w:t xml:space="preserve"> der Anlage 3 beschriebenen Prozesse und der nachfolgenden Regelungen möglich.</w:t>
      </w:r>
    </w:p>
    <w:p w:rsidRPr="00B72C03" w:rsidR="00EE439B" w:rsidP="00CA1018" w:rsidRDefault="00EE439B" w14:paraId="70E98407" w14:textId="77777777">
      <w:pPr>
        <w:pStyle w:val="Level2"/>
        <w:numPr>
          <w:ilvl w:val="1"/>
          <w:numId w:val="16"/>
        </w:numPr>
      </w:pPr>
      <w:r w:rsidRPr="00B72C03">
        <w:t>Aufhebungsmöglichkeiten von EKP</w:t>
      </w:r>
      <w:r w:rsidRPr="00B72C03">
        <w:rPr>
          <w:vertAlign w:val="subscript"/>
        </w:rPr>
        <w:t>auf</w:t>
      </w:r>
    </w:p>
    <w:p w:rsidRPr="00B72C03" w:rsidR="00EE439B" w:rsidP="00CA1018" w:rsidRDefault="00EE439B" w14:paraId="497AFEB9" w14:textId="699E55CA">
      <w:pPr>
        <w:pStyle w:val="Level3"/>
        <w:numPr>
          <w:ilvl w:val="2"/>
          <w:numId w:val="16"/>
        </w:numPr>
        <w:rPr>
          <w:sz w:val="20"/>
          <w:szCs w:val="20"/>
        </w:rPr>
      </w:pPr>
      <w:r w:rsidRPr="00B72C03">
        <w:rPr>
          <w:sz w:val="20"/>
          <w:szCs w:val="20"/>
        </w:rPr>
        <w:t>EKP</w:t>
      </w:r>
      <w:r w:rsidRPr="00B72C03">
        <w:rPr>
          <w:sz w:val="20"/>
          <w:szCs w:val="20"/>
          <w:vertAlign w:val="subscript"/>
        </w:rPr>
        <w:t>auf</w:t>
      </w:r>
      <w:r w:rsidRPr="00B72C03">
        <w:rPr>
          <w:sz w:val="20"/>
          <w:szCs w:val="20"/>
        </w:rPr>
        <w:t xml:space="preserve"> kann immer und ohne Angabe von Gründen eine Aufhebungsmeldung an EKP</w:t>
      </w:r>
      <w:r w:rsidRPr="00B72C03">
        <w:rPr>
          <w:sz w:val="20"/>
          <w:szCs w:val="20"/>
          <w:vertAlign w:val="subscript"/>
        </w:rPr>
        <w:t>abg</w:t>
      </w:r>
      <w:r w:rsidRPr="00B72C03">
        <w:rPr>
          <w:sz w:val="20"/>
          <w:szCs w:val="20"/>
        </w:rPr>
        <w:t xml:space="preserve"> übermitteln. Die Aufhebungsmeldung kann EKP</w:t>
      </w:r>
      <w:r w:rsidRPr="00B72C03">
        <w:rPr>
          <w:sz w:val="20"/>
          <w:szCs w:val="20"/>
          <w:vertAlign w:val="subscript"/>
        </w:rPr>
        <w:t>auf</w:t>
      </w:r>
      <w:r w:rsidRPr="00B72C03">
        <w:rPr>
          <w:sz w:val="20"/>
          <w:szCs w:val="20"/>
        </w:rPr>
        <w:t xml:space="preserve"> gemäß Ziffer </w:t>
      </w:r>
      <w:r w:rsidRPr="00B72C03" w:rsidR="00D26AF5">
        <w:rPr>
          <w:sz w:val="20"/>
          <w:szCs w:val="20"/>
          <w:lang w:val="de-DE"/>
        </w:rPr>
        <w:t>2.9.1</w:t>
      </w:r>
      <w:r w:rsidRPr="00B72C03">
        <w:rPr>
          <w:sz w:val="20"/>
          <w:szCs w:val="20"/>
        </w:rPr>
        <w:t xml:space="preserve"> der Anlage 3 auch schon vor Erhalt der Vorabstimmungsantwort von EKP</w:t>
      </w:r>
      <w:r w:rsidRPr="00B72C03">
        <w:rPr>
          <w:sz w:val="20"/>
          <w:szCs w:val="20"/>
          <w:vertAlign w:val="subscript"/>
        </w:rPr>
        <w:t>abg</w:t>
      </w:r>
      <w:r w:rsidRPr="00B72C03">
        <w:rPr>
          <w:sz w:val="20"/>
          <w:szCs w:val="20"/>
        </w:rPr>
        <w:t xml:space="preserve"> an EKP</w:t>
      </w:r>
      <w:r w:rsidRPr="00B72C03">
        <w:rPr>
          <w:sz w:val="20"/>
          <w:szCs w:val="20"/>
          <w:vertAlign w:val="subscript"/>
        </w:rPr>
        <w:t>abg</w:t>
      </w:r>
      <w:r w:rsidRPr="00B72C03">
        <w:rPr>
          <w:sz w:val="20"/>
          <w:szCs w:val="20"/>
        </w:rPr>
        <w:t xml:space="preserve"> übermitteln.</w:t>
      </w:r>
    </w:p>
    <w:p w:rsidRPr="00B72C03" w:rsidR="00EE439B" w:rsidP="00CA1018" w:rsidRDefault="00EE439B" w14:paraId="0E8AD48E" w14:textId="7A4E1F17">
      <w:pPr>
        <w:pStyle w:val="Level3"/>
        <w:numPr>
          <w:ilvl w:val="2"/>
          <w:numId w:val="16"/>
        </w:numPr>
        <w:rPr>
          <w:sz w:val="20"/>
          <w:szCs w:val="20"/>
        </w:rPr>
      </w:pPr>
      <w:bookmarkStart w:name="_Ref340766605" w:id="20"/>
      <w:r w:rsidRPr="00B72C03">
        <w:rPr>
          <w:sz w:val="20"/>
          <w:szCs w:val="20"/>
        </w:rPr>
        <w:t xml:space="preserve">Der Inhalt und der Aufbau einer Aufhebungsmeldung </w:t>
      </w:r>
      <w:r w:rsidRPr="00B72C03" w:rsidR="00484F74">
        <w:rPr>
          <w:sz w:val="20"/>
          <w:szCs w:val="20"/>
        </w:rPr>
        <w:t xml:space="preserve">bestimmen </w:t>
      </w:r>
      <w:r w:rsidRPr="00B72C03">
        <w:rPr>
          <w:sz w:val="20"/>
          <w:szCs w:val="20"/>
        </w:rPr>
        <w:t xml:space="preserve">sich nach Ziffer </w:t>
      </w:r>
      <w:r w:rsidRPr="00B72C03" w:rsidR="00D26AF5">
        <w:rPr>
          <w:sz w:val="20"/>
          <w:szCs w:val="20"/>
          <w:lang w:val="de-DE"/>
        </w:rPr>
        <w:t>2.9</w:t>
      </w:r>
      <w:r w:rsidRPr="00B72C03">
        <w:rPr>
          <w:sz w:val="20"/>
          <w:szCs w:val="20"/>
        </w:rPr>
        <w:t>.1 der Anlage 3, wobei die Aufhebungsmeldung die im „Kann/Muss“ Feld als „Muss“ bezeichneten Inhalte enthalten muss. EKP</w:t>
      </w:r>
      <w:r w:rsidRPr="00B72C03">
        <w:rPr>
          <w:sz w:val="20"/>
          <w:szCs w:val="20"/>
          <w:vertAlign w:val="subscript"/>
        </w:rPr>
        <w:t>abg</w:t>
      </w:r>
      <w:r w:rsidRPr="00B72C03">
        <w:rPr>
          <w:sz w:val="20"/>
          <w:szCs w:val="20"/>
        </w:rPr>
        <w:t xml:space="preserve"> antwortet auf die Aufhebungsmeldung innerhalb von 24 Stunden (bezogen auf Arbeitstage) mit einer Aufhebungsantwort, welche die im „Kann/Muss“ Feld als „Muss“ bezeichneten Inhalte enthalten muss.</w:t>
      </w:r>
      <w:bookmarkEnd w:id="20"/>
    </w:p>
    <w:p w:rsidRPr="00B72C03" w:rsidR="00EE439B" w:rsidP="00CA1018" w:rsidRDefault="00EE439B" w14:paraId="7F08FACA" w14:textId="77777777">
      <w:pPr>
        <w:pStyle w:val="Level3"/>
        <w:numPr>
          <w:ilvl w:val="2"/>
          <w:numId w:val="16"/>
        </w:numPr>
        <w:rPr>
          <w:sz w:val="20"/>
          <w:szCs w:val="20"/>
        </w:rPr>
      </w:pPr>
      <w:r w:rsidRPr="00B72C03">
        <w:rPr>
          <w:sz w:val="20"/>
          <w:szCs w:val="20"/>
        </w:rPr>
        <w:t>Geht EKP</w:t>
      </w:r>
      <w:r w:rsidRPr="00B72C03">
        <w:rPr>
          <w:sz w:val="20"/>
          <w:szCs w:val="20"/>
          <w:vertAlign w:val="subscript"/>
        </w:rPr>
        <w:t>abg</w:t>
      </w:r>
      <w:r w:rsidRPr="00B72C03">
        <w:rPr>
          <w:sz w:val="20"/>
          <w:szCs w:val="20"/>
        </w:rPr>
        <w:t xml:space="preserve"> die Aufhebungsmeldung von EKP</w:t>
      </w:r>
      <w:r w:rsidRPr="00B72C03">
        <w:rPr>
          <w:sz w:val="20"/>
          <w:szCs w:val="20"/>
          <w:vertAlign w:val="subscript"/>
        </w:rPr>
        <w:t>auf</w:t>
      </w:r>
      <w:r w:rsidRPr="00B72C03">
        <w:rPr>
          <w:sz w:val="20"/>
          <w:szCs w:val="20"/>
        </w:rPr>
        <w:t xml:space="preserve"> nach Zugang einer Vorabstimmungsanfrage von EKP</w:t>
      </w:r>
      <w:r w:rsidRPr="00B72C03">
        <w:rPr>
          <w:sz w:val="20"/>
          <w:szCs w:val="20"/>
          <w:vertAlign w:val="subscript"/>
        </w:rPr>
        <w:t>auf</w:t>
      </w:r>
      <w:r w:rsidRPr="00B72C03">
        <w:rPr>
          <w:sz w:val="20"/>
          <w:szCs w:val="20"/>
        </w:rPr>
        <w:t>, aber vor Rückmeldung auf diese zu, beantwortet EKP</w:t>
      </w:r>
      <w:r w:rsidRPr="00B72C03">
        <w:rPr>
          <w:sz w:val="20"/>
          <w:szCs w:val="20"/>
          <w:vertAlign w:val="subscript"/>
        </w:rPr>
        <w:t>abg</w:t>
      </w:r>
      <w:r w:rsidRPr="00B72C03">
        <w:rPr>
          <w:sz w:val="20"/>
          <w:szCs w:val="20"/>
        </w:rPr>
        <w:t xml:space="preserve"> lediglich die Aufhebungsmeldung mit einer Aufhebungsantwort gemäß Ziffer </w:t>
      </w:r>
      <w:r w:rsidRPr="00B72C03">
        <w:rPr>
          <w:sz w:val="20"/>
          <w:szCs w:val="20"/>
        </w:rPr>
        <w:fldChar w:fldCharType="begin"/>
      </w:r>
      <w:r w:rsidRPr="00B72C03">
        <w:rPr>
          <w:sz w:val="20"/>
          <w:szCs w:val="20"/>
        </w:rPr>
        <w:instrText xml:space="preserve"> REF _Ref340766605 \r \h </w:instrText>
      </w:r>
      <w:r w:rsidRPr="00B72C03" w:rsidR="00534C4F">
        <w:rPr>
          <w:sz w:val="20"/>
          <w:szCs w:val="20"/>
        </w:rPr>
        <w:instrText xml:space="preserve"> \* MERGEFORMAT </w:instrText>
      </w:r>
      <w:r w:rsidRPr="00B72C03">
        <w:rPr>
          <w:sz w:val="20"/>
          <w:szCs w:val="20"/>
        </w:rPr>
      </w:r>
      <w:r w:rsidRPr="00B72C03">
        <w:rPr>
          <w:sz w:val="20"/>
          <w:szCs w:val="20"/>
        </w:rPr>
        <w:fldChar w:fldCharType="separate"/>
      </w:r>
      <w:r w:rsidRPr="00B72C03" w:rsidR="00391649">
        <w:rPr>
          <w:sz w:val="20"/>
          <w:szCs w:val="20"/>
        </w:rPr>
        <w:t>4.1.2</w:t>
      </w:r>
      <w:r w:rsidRPr="00B72C03">
        <w:rPr>
          <w:sz w:val="20"/>
          <w:szCs w:val="20"/>
        </w:rPr>
        <w:fldChar w:fldCharType="end"/>
      </w:r>
      <w:r w:rsidRPr="00B72C03">
        <w:rPr>
          <w:sz w:val="20"/>
          <w:szCs w:val="20"/>
        </w:rPr>
        <w:t>.</w:t>
      </w:r>
    </w:p>
    <w:p w:rsidRPr="00B72C03" w:rsidR="00EE439B" w:rsidP="00CA1018" w:rsidRDefault="00EE439B" w14:paraId="168A01DC" w14:textId="77777777">
      <w:pPr>
        <w:pStyle w:val="Level3"/>
        <w:numPr>
          <w:ilvl w:val="2"/>
          <w:numId w:val="16"/>
        </w:numPr>
        <w:rPr>
          <w:sz w:val="20"/>
          <w:szCs w:val="20"/>
        </w:rPr>
      </w:pPr>
      <w:r w:rsidRPr="00B72C03">
        <w:rPr>
          <w:sz w:val="20"/>
          <w:szCs w:val="20"/>
        </w:rPr>
        <w:t>EKP</w:t>
      </w:r>
      <w:r w:rsidRPr="00B72C03">
        <w:rPr>
          <w:sz w:val="20"/>
          <w:szCs w:val="20"/>
          <w:vertAlign w:val="subscript"/>
        </w:rPr>
        <w:t>abg</w:t>
      </w:r>
      <w:r w:rsidRPr="00B72C03">
        <w:rPr>
          <w:sz w:val="20"/>
          <w:szCs w:val="20"/>
        </w:rPr>
        <w:t xml:space="preserve"> kann die Aufhebungsmeldung nur ablehnen, sofern die Aufhebungsmeldung fehlerhafte Angaben enthält oder mit einem kürzeren zeitlichen Vorlauf als drei Arbeitstage vor dem in der Vorabstimmungsantwort bestätigten Wechseltermin bei EKP</w:t>
      </w:r>
      <w:r w:rsidRPr="00B72C03">
        <w:rPr>
          <w:sz w:val="20"/>
          <w:szCs w:val="20"/>
          <w:vertAlign w:val="subscript"/>
        </w:rPr>
        <w:t>abg</w:t>
      </w:r>
      <w:r w:rsidRPr="00B72C03">
        <w:rPr>
          <w:sz w:val="20"/>
          <w:szCs w:val="20"/>
        </w:rPr>
        <w:t xml:space="preserve"> eingeht.</w:t>
      </w:r>
    </w:p>
    <w:p w:rsidRPr="00B72C03" w:rsidR="00EE439B" w:rsidP="0088176E" w:rsidRDefault="00EE439B" w14:paraId="47760CBE" w14:textId="77777777">
      <w:pPr>
        <w:pStyle w:val="Level3"/>
        <w:numPr>
          <w:ilvl w:val="2"/>
          <w:numId w:val="16"/>
        </w:numPr>
        <w:rPr>
          <w:sz w:val="20"/>
          <w:szCs w:val="20"/>
        </w:rPr>
      </w:pPr>
      <w:r w:rsidRPr="00B72C03">
        <w:rPr>
          <w:sz w:val="20"/>
          <w:szCs w:val="20"/>
        </w:rPr>
        <w:t>Übermittelt EKP</w:t>
      </w:r>
      <w:r w:rsidRPr="00B72C03">
        <w:rPr>
          <w:sz w:val="20"/>
          <w:szCs w:val="20"/>
          <w:vertAlign w:val="subscript"/>
        </w:rPr>
        <w:t>auf</w:t>
      </w:r>
      <w:r w:rsidRPr="00B72C03">
        <w:rPr>
          <w:sz w:val="20"/>
          <w:szCs w:val="20"/>
        </w:rPr>
        <w:t xml:space="preserve"> nach Erhalt einer positiven Aufhebungsantwort für einen Endkunden erneut eine Vorabstimmungsanfrage für diesen Endkunden, ist dieses eine neue Vorabstimmungsanfrage, die gemäß Ziffer </w:t>
      </w:r>
      <w:r w:rsidRPr="00B72C03">
        <w:rPr>
          <w:sz w:val="20"/>
          <w:szCs w:val="20"/>
        </w:rPr>
        <w:fldChar w:fldCharType="begin"/>
      </w:r>
      <w:r w:rsidRPr="00B72C03">
        <w:rPr>
          <w:sz w:val="20"/>
          <w:szCs w:val="20"/>
        </w:rPr>
        <w:instrText xml:space="preserve"> REF _Ref340766933 \r \h </w:instrText>
      </w:r>
      <w:r w:rsidRPr="00B72C03" w:rsidR="00534C4F">
        <w:rPr>
          <w:sz w:val="20"/>
          <w:szCs w:val="20"/>
        </w:rPr>
        <w:instrText xml:space="preserve"> \* MERGEFORMAT </w:instrText>
      </w:r>
      <w:r w:rsidRPr="00B72C03">
        <w:rPr>
          <w:sz w:val="20"/>
          <w:szCs w:val="20"/>
        </w:rPr>
      </w:r>
      <w:r w:rsidRPr="00B72C03">
        <w:rPr>
          <w:sz w:val="20"/>
          <w:szCs w:val="20"/>
        </w:rPr>
        <w:fldChar w:fldCharType="separate"/>
      </w:r>
      <w:r w:rsidRPr="00B72C03" w:rsidR="00391649">
        <w:rPr>
          <w:sz w:val="20"/>
          <w:szCs w:val="20"/>
        </w:rPr>
        <w:t>2.6.2</w:t>
      </w:r>
      <w:r w:rsidRPr="00B72C03">
        <w:rPr>
          <w:sz w:val="20"/>
          <w:szCs w:val="20"/>
        </w:rPr>
        <w:fldChar w:fldCharType="end"/>
      </w:r>
      <w:r w:rsidRPr="00B72C03">
        <w:rPr>
          <w:sz w:val="20"/>
          <w:szCs w:val="20"/>
        </w:rPr>
        <w:t xml:space="preserve"> von EKP</w:t>
      </w:r>
      <w:r w:rsidRPr="00B72C03">
        <w:rPr>
          <w:sz w:val="20"/>
          <w:szCs w:val="20"/>
          <w:vertAlign w:val="subscript"/>
        </w:rPr>
        <w:t>abg</w:t>
      </w:r>
      <w:r w:rsidRPr="00B72C03">
        <w:rPr>
          <w:sz w:val="20"/>
          <w:szCs w:val="20"/>
        </w:rPr>
        <w:t xml:space="preserve"> beantwortet wird.</w:t>
      </w:r>
    </w:p>
    <w:p w:rsidRPr="00B72C03" w:rsidR="00EE439B" w:rsidP="00A960A0" w:rsidRDefault="00EE439B" w14:paraId="16D3BB3A" w14:textId="77777777">
      <w:pPr>
        <w:pStyle w:val="Level2"/>
        <w:numPr>
          <w:ilvl w:val="1"/>
          <w:numId w:val="16"/>
        </w:numPr>
      </w:pPr>
      <w:r w:rsidRPr="00B72C03">
        <w:t>Aufhebungsmöglichkeiten von EKP</w:t>
      </w:r>
      <w:r w:rsidRPr="00B72C03">
        <w:rPr>
          <w:vertAlign w:val="subscript"/>
        </w:rPr>
        <w:t>abg</w:t>
      </w:r>
    </w:p>
    <w:p w:rsidRPr="00B72C03" w:rsidR="00EE439B" w:rsidP="001F5543" w:rsidRDefault="00EE439B" w14:paraId="53C2709E" w14:textId="0AA653A3">
      <w:pPr>
        <w:pStyle w:val="Level3"/>
        <w:numPr>
          <w:ilvl w:val="2"/>
          <w:numId w:val="16"/>
        </w:numPr>
        <w:rPr>
          <w:sz w:val="20"/>
          <w:szCs w:val="20"/>
        </w:rPr>
      </w:pPr>
      <w:r w:rsidRPr="00B72C03">
        <w:rPr>
          <w:sz w:val="20"/>
          <w:szCs w:val="20"/>
        </w:rPr>
        <w:t>EKP</w:t>
      </w:r>
      <w:r w:rsidRPr="00B72C03">
        <w:rPr>
          <w:sz w:val="20"/>
          <w:szCs w:val="20"/>
          <w:vertAlign w:val="subscript"/>
        </w:rPr>
        <w:t>abg</w:t>
      </w:r>
      <w:r w:rsidRPr="00B72C03">
        <w:rPr>
          <w:sz w:val="20"/>
          <w:szCs w:val="20"/>
        </w:rPr>
        <w:t xml:space="preserve"> kann nur aus den in Ziffer </w:t>
      </w:r>
      <w:r w:rsidRPr="00B72C03" w:rsidR="003433A0">
        <w:rPr>
          <w:sz w:val="20"/>
          <w:szCs w:val="20"/>
          <w:lang w:val="de-DE"/>
        </w:rPr>
        <w:t>2.</w:t>
      </w:r>
      <w:r w:rsidRPr="00B72C03" w:rsidR="00115646">
        <w:rPr>
          <w:sz w:val="20"/>
          <w:szCs w:val="20"/>
          <w:lang w:val="de-DE"/>
        </w:rPr>
        <w:t>9</w:t>
      </w:r>
      <w:r w:rsidRPr="00B72C03" w:rsidR="003433A0">
        <w:rPr>
          <w:sz w:val="20"/>
          <w:szCs w:val="20"/>
          <w:lang w:val="de-DE"/>
        </w:rPr>
        <w:t>.2</w:t>
      </w:r>
      <w:r w:rsidRPr="00B72C03">
        <w:rPr>
          <w:sz w:val="20"/>
          <w:szCs w:val="20"/>
        </w:rPr>
        <w:t xml:space="preserve"> der Anlage 3 genannten Gründen und Verfahren eine Aufhebungsmitteilung an EKP</w:t>
      </w:r>
      <w:r w:rsidRPr="00B72C03">
        <w:rPr>
          <w:sz w:val="20"/>
          <w:szCs w:val="20"/>
          <w:vertAlign w:val="subscript"/>
        </w:rPr>
        <w:t>auf</w:t>
      </w:r>
      <w:r w:rsidRPr="00B72C03">
        <w:rPr>
          <w:sz w:val="20"/>
          <w:szCs w:val="20"/>
        </w:rPr>
        <w:t xml:space="preserve"> übermitteln.</w:t>
      </w:r>
    </w:p>
    <w:p w:rsidRPr="00B72C03" w:rsidR="00EE439B" w:rsidP="005D458C" w:rsidRDefault="00EE439B" w14:paraId="6567415A" w14:textId="0FEE9B37">
      <w:pPr>
        <w:pStyle w:val="Level3"/>
        <w:numPr>
          <w:ilvl w:val="2"/>
          <w:numId w:val="16"/>
        </w:numPr>
        <w:rPr>
          <w:sz w:val="20"/>
          <w:szCs w:val="20"/>
        </w:rPr>
      </w:pPr>
      <w:bookmarkStart w:name="_Ref340767272" w:id="21"/>
      <w:r w:rsidRPr="00B72C03">
        <w:rPr>
          <w:sz w:val="20"/>
          <w:szCs w:val="20"/>
        </w:rPr>
        <w:lastRenderedPageBreak/>
        <w:t xml:space="preserve">Der Inhalt und der Aufbau einer Aufhebungsmeldung bestimmt sich nach Ziffer </w:t>
      </w:r>
      <w:r w:rsidRPr="00B72C03" w:rsidR="003433A0">
        <w:rPr>
          <w:sz w:val="20"/>
          <w:szCs w:val="20"/>
          <w:lang w:val="de-DE"/>
        </w:rPr>
        <w:t>2.</w:t>
      </w:r>
      <w:r w:rsidRPr="00B72C03" w:rsidR="00115646">
        <w:rPr>
          <w:sz w:val="20"/>
          <w:szCs w:val="20"/>
          <w:lang w:val="de-DE"/>
        </w:rPr>
        <w:t>9</w:t>
      </w:r>
      <w:r w:rsidRPr="00B72C03" w:rsidR="003433A0">
        <w:rPr>
          <w:sz w:val="20"/>
          <w:szCs w:val="20"/>
          <w:lang w:val="de-DE"/>
        </w:rPr>
        <w:t>.2</w:t>
      </w:r>
      <w:r w:rsidRPr="00B72C03">
        <w:rPr>
          <w:sz w:val="20"/>
          <w:szCs w:val="20"/>
        </w:rPr>
        <w:t xml:space="preserve"> der Anlage 3, wobei die Aufhebungsmeldung die im „Kann/Muss“ Feld als „Muss“ bezeichneten Inhalte enthalten muss. EKP</w:t>
      </w:r>
      <w:r w:rsidRPr="00B72C03">
        <w:rPr>
          <w:sz w:val="20"/>
          <w:szCs w:val="20"/>
          <w:vertAlign w:val="subscript"/>
        </w:rPr>
        <w:t>auf</w:t>
      </w:r>
      <w:r w:rsidRPr="00B72C03">
        <w:rPr>
          <w:sz w:val="20"/>
          <w:szCs w:val="20"/>
        </w:rPr>
        <w:t xml:space="preserve"> antwortet auf die Aufhebungsmeldung innerhalb von 24 Stunden (bezogen auf Arbeitstage) mit einer Aufhebungsantwort, welche die im „Kann/Muss“ Feld von Ziffer </w:t>
      </w:r>
      <w:r w:rsidRPr="00B72C03" w:rsidR="003433A0">
        <w:rPr>
          <w:sz w:val="20"/>
          <w:szCs w:val="20"/>
          <w:lang w:val="de-DE"/>
        </w:rPr>
        <w:t>2.10.2</w:t>
      </w:r>
      <w:r w:rsidRPr="00B72C03">
        <w:rPr>
          <w:sz w:val="20"/>
          <w:szCs w:val="20"/>
        </w:rPr>
        <w:t xml:space="preserve"> der Anlage 3 als „Muss“ bezeichneten Inhalte enthalten muss.</w:t>
      </w:r>
      <w:bookmarkEnd w:id="21"/>
    </w:p>
    <w:p w:rsidRPr="00B72C03" w:rsidR="00EE439B" w:rsidP="00BE05F3" w:rsidRDefault="00EE439B" w14:paraId="4542FF5F" w14:textId="77777777">
      <w:pPr>
        <w:pStyle w:val="Level3"/>
        <w:numPr>
          <w:ilvl w:val="2"/>
          <w:numId w:val="16"/>
        </w:numPr>
        <w:rPr>
          <w:i/>
          <w:sz w:val="20"/>
          <w:szCs w:val="20"/>
        </w:rPr>
      </w:pPr>
      <w:r w:rsidRPr="00B72C03">
        <w:rPr>
          <w:sz w:val="20"/>
          <w:szCs w:val="20"/>
        </w:rPr>
        <w:t>Sofern EKP</w:t>
      </w:r>
      <w:r w:rsidRPr="00B72C03">
        <w:rPr>
          <w:sz w:val="20"/>
          <w:szCs w:val="20"/>
          <w:vertAlign w:val="subscript"/>
        </w:rPr>
        <w:t>auf</w:t>
      </w:r>
      <w:r w:rsidRPr="00B72C03">
        <w:rPr>
          <w:sz w:val="20"/>
          <w:szCs w:val="20"/>
        </w:rPr>
        <w:t xml:space="preserve"> aufgrund tatsächlicher Anhaltspunkte vermutet, dass der von EKP</w:t>
      </w:r>
      <w:r w:rsidRPr="00B72C03">
        <w:rPr>
          <w:sz w:val="20"/>
          <w:szCs w:val="20"/>
          <w:vertAlign w:val="subscript"/>
        </w:rPr>
        <w:t>abg</w:t>
      </w:r>
      <w:r w:rsidRPr="00B72C03">
        <w:rPr>
          <w:sz w:val="20"/>
          <w:szCs w:val="20"/>
        </w:rPr>
        <w:t xml:space="preserve"> angegebene Grund nicht vorliegt oder wenn die Aufhebungsmeldung fehlerhaft oder unvollständig ist oder mit einem kürzeren zeitlichen Vorlauf als drei Arbeitstage vor dem in der Vorabstimmungsantwort bestätigten Wechseltermin eingeht, kann EKP</w:t>
      </w:r>
      <w:r w:rsidRPr="00B72C03">
        <w:rPr>
          <w:sz w:val="20"/>
          <w:szCs w:val="20"/>
          <w:vertAlign w:val="subscript"/>
        </w:rPr>
        <w:t>auf</w:t>
      </w:r>
      <w:r w:rsidRPr="00B72C03">
        <w:rPr>
          <w:sz w:val="20"/>
          <w:szCs w:val="20"/>
        </w:rPr>
        <w:t xml:space="preserve"> die Aufhebungsmeldung unter Nennung des jeweiligen Grundes mit den Inhalten nach Ziffer </w:t>
      </w:r>
      <w:r w:rsidRPr="00B72C03">
        <w:rPr>
          <w:sz w:val="20"/>
          <w:szCs w:val="20"/>
        </w:rPr>
        <w:fldChar w:fldCharType="begin"/>
      </w:r>
      <w:r w:rsidRPr="00B72C03">
        <w:rPr>
          <w:sz w:val="20"/>
          <w:szCs w:val="20"/>
        </w:rPr>
        <w:instrText xml:space="preserve"> REF _Ref340767272 \r \h </w:instrText>
      </w:r>
      <w:r w:rsidRPr="00B72C03" w:rsidR="00484F74">
        <w:rPr>
          <w:sz w:val="20"/>
          <w:szCs w:val="20"/>
        </w:rPr>
        <w:instrText xml:space="preserve"> \* MERGEFORMAT </w:instrText>
      </w:r>
      <w:r w:rsidRPr="00B72C03">
        <w:rPr>
          <w:sz w:val="20"/>
          <w:szCs w:val="20"/>
        </w:rPr>
      </w:r>
      <w:r w:rsidRPr="00B72C03">
        <w:rPr>
          <w:sz w:val="20"/>
          <w:szCs w:val="20"/>
        </w:rPr>
        <w:fldChar w:fldCharType="separate"/>
      </w:r>
      <w:r w:rsidRPr="00B72C03" w:rsidR="00391649">
        <w:rPr>
          <w:sz w:val="20"/>
          <w:szCs w:val="20"/>
        </w:rPr>
        <w:t>4.2.2</w:t>
      </w:r>
      <w:r w:rsidRPr="00B72C03">
        <w:rPr>
          <w:sz w:val="20"/>
          <w:szCs w:val="20"/>
        </w:rPr>
        <w:fldChar w:fldCharType="end"/>
      </w:r>
      <w:r w:rsidRPr="00B72C03">
        <w:rPr>
          <w:sz w:val="20"/>
          <w:szCs w:val="20"/>
        </w:rPr>
        <w:t xml:space="preserve"> ablehnen. EKP</w:t>
      </w:r>
      <w:r w:rsidRPr="00B72C03">
        <w:rPr>
          <w:sz w:val="20"/>
          <w:szCs w:val="20"/>
          <w:vertAlign w:val="subscript"/>
        </w:rPr>
        <w:t>abg</w:t>
      </w:r>
      <w:r w:rsidRPr="00B72C03">
        <w:rPr>
          <w:sz w:val="20"/>
          <w:szCs w:val="20"/>
        </w:rPr>
        <w:t xml:space="preserve"> kann nach einer ablehnenden Aufhebungsantwort erneut eine Aufhebungsmeldung für denselben Endkunden einstellen und muss EKP</w:t>
      </w:r>
      <w:r w:rsidRPr="00B72C03">
        <w:rPr>
          <w:sz w:val="20"/>
          <w:szCs w:val="20"/>
          <w:vertAlign w:val="subscript"/>
        </w:rPr>
        <w:t>auf</w:t>
      </w:r>
      <w:r w:rsidRPr="00B72C03">
        <w:rPr>
          <w:sz w:val="20"/>
          <w:szCs w:val="20"/>
        </w:rPr>
        <w:t xml:space="preserve"> hierzu vorher die ihm vorliegenden Nachweise für den Grund übermitteln. EKP</w:t>
      </w:r>
      <w:r w:rsidRPr="00B72C03">
        <w:rPr>
          <w:sz w:val="20"/>
          <w:szCs w:val="20"/>
          <w:vertAlign w:val="subscript"/>
        </w:rPr>
        <w:t>auf</w:t>
      </w:r>
      <w:r w:rsidRPr="00B72C03">
        <w:rPr>
          <w:sz w:val="20"/>
          <w:szCs w:val="20"/>
        </w:rPr>
        <w:t xml:space="preserve"> stimmt der erneuten Aufhebungsmeldung mittels Aufhebungsantwort nur dann zu, wenn er nach Prüfung der Nachweise das Bestehen des Grundes verifiziert hat. Sofern EKP</w:t>
      </w:r>
      <w:r w:rsidRPr="00B72C03">
        <w:rPr>
          <w:sz w:val="20"/>
          <w:szCs w:val="20"/>
          <w:vertAlign w:val="subscript"/>
        </w:rPr>
        <w:t>auf</w:t>
      </w:r>
      <w:r w:rsidRPr="00B72C03">
        <w:rPr>
          <w:sz w:val="20"/>
          <w:szCs w:val="20"/>
        </w:rPr>
        <w:t xml:space="preserve"> nicht ablehnt, bestätigt er die Aufhebungsmeldung mittels Aufhebungsantwort gemäß Ziffer </w:t>
      </w:r>
      <w:r w:rsidRPr="00B72C03">
        <w:rPr>
          <w:sz w:val="20"/>
          <w:szCs w:val="20"/>
        </w:rPr>
        <w:fldChar w:fldCharType="begin"/>
      </w:r>
      <w:r w:rsidRPr="00B72C03">
        <w:rPr>
          <w:sz w:val="20"/>
          <w:szCs w:val="20"/>
        </w:rPr>
        <w:instrText xml:space="preserve"> REF _Ref340767272 \r \h </w:instrText>
      </w:r>
      <w:r w:rsidRPr="00B72C03" w:rsidR="00484F74">
        <w:rPr>
          <w:sz w:val="20"/>
          <w:szCs w:val="20"/>
        </w:rPr>
        <w:instrText xml:space="preserve"> \* MERGEFORMAT </w:instrText>
      </w:r>
      <w:r w:rsidRPr="00B72C03">
        <w:rPr>
          <w:sz w:val="20"/>
          <w:szCs w:val="20"/>
        </w:rPr>
      </w:r>
      <w:r w:rsidRPr="00B72C03">
        <w:rPr>
          <w:sz w:val="20"/>
          <w:szCs w:val="20"/>
        </w:rPr>
        <w:fldChar w:fldCharType="separate"/>
      </w:r>
      <w:r w:rsidRPr="00B72C03" w:rsidR="00391649">
        <w:rPr>
          <w:sz w:val="20"/>
          <w:szCs w:val="20"/>
        </w:rPr>
        <w:t>4.2.2</w:t>
      </w:r>
      <w:r w:rsidRPr="00B72C03">
        <w:rPr>
          <w:sz w:val="20"/>
          <w:szCs w:val="20"/>
        </w:rPr>
        <w:fldChar w:fldCharType="end"/>
      </w:r>
      <w:r w:rsidRPr="00B72C03">
        <w:rPr>
          <w:sz w:val="20"/>
          <w:szCs w:val="20"/>
        </w:rPr>
        <w:t xml:space="preserve">. </w:t>
      </w:r>
    </w:p>
    <w:p w:rsidRPr="00B72C03" w:rsidR="00EE439B" w:rsidP="00B402B3" w:rsidRDefault="00EE439B" w14:paraId="364BCC02" w14:textId="77777777">
      <w:pPr>
        <w:pStyle w:val="Level2"/>
        <w:numPr>
          <w:ilvl w:val="1"/>
          <w:numId w:val="16"/>
        </w:numPr>
        <w:rPr>
          <w:szCs w:val="20"/>
        </w:rPr>
      </w:pPr>
      <w:r w:rsidRPr="00B72C03">
        <w:rPr>
          <w:szCs w:val="20"/>
        </w:rPr>
        <w:t xml:space="preserve">Änderung am Ergebnis der Vorabstimmung (außer Terminverschiebung gemäß Ziffer </w:t>
      </w:r>
      <w:r w:rsidRPr="00B72C03">
        <w:rPr>
          <w:szCs w:val="20"/>
        </w:rPr>
        <w:fldChar w:fldCharType="begin"/>
      </w:r>
      <w:r w:rsidRPr="00B72C03">
        <w:rPr>
          <w:szCs w:val="20"/>
        </w:rPr>
        <w:instrText xml:space="preserve"> REF _Ref345323937 \r \h </w:instrText>
      </w:r>
      <w:r w:rsidRPr="00B72C03" w:rsidR="001939FE">
        <w:rPr>
          <w:szCs w:val="20"/>
        </w:rPr>
        <w:instrText xml:space="preserve"> \* MERGEFORMAT </w:instrText>
      </w:r>
      <w:r w:rsidRPr="00B72C03">
        <w:rPr>
          <w:szCs w:val="20"/>
        </w:rPr>
      </w:r>
      <w:r w:rsidRPr="00B72C03">
        <w:rPr>
          <w:szCs w:val="20"/>
        </w:rPr>
        <w:fldChar w:fldCharType="separate"/>
      </w:r>
      <w:r w:rsidRPr="00B72C03" w:rsidR="00391649">
        <w:rPr>
          <w:szCs w:val="20"/>
        </w:rPr>
        <w:t>4.4</w:t>
      </w:r>
      <w:r w:rsidRPr="00B72C03">
        <w:rPr>
          <w:szCs w:val="20"/>
        </w:rPr>
        <w:fldChar w:fldCharType="end"/>
      </w:r>
      <w:r w:rsidRPr="00B72C03">
        <w:rPr>
          <w:szCs w:val="20"/>
        </w:rPr>
        <w:t>)</w:t>
      </w:r>
    </w:p>
    <w:p w:rsidRPr="00B72C03" w:rsidR="00EE439B" w:rsidP="00B402B3" w:rsidRDefault="00EE439B" w14:paraId="14DE432B" w14:textId="0FED03AE">
      <w:pPr>
        <w:pStyle w:val="Level3"/>
        <w:numPr>
          <w:ilvl w:val="2"/>
          <w:numId w:val="16"/>
        </w:numPr>
        <w:rPr>
          <w:sz w:val="20"/>
          <w:szCs w:val="20"/>
        </w:rPr>
      </w:pPr>
      <w:r w:rsidRPr="00B72C03">
        <w:rPr>
          <w:sz w:val="20"/>
          <w:szCs w:val="20"/>
        </w:rPr>
        <w:t>Eine Änderung des Vorabstimmungsergebnisses erfolgt, indem zunächst die Vertragspartei, die eine Änderung wünscht, an die andere Vertragspartei eine Änderungsmeldung übermittelt und so das Vorabstimmungsergebnis vorläufig aufhebt</w:t>
      </w:r>
      <w:r w:rsidRPr="00B72C03" w:rsidR="00E51912">
        <w:rPr>
          <w:sz w:val="20"/>
          <w:szCs w:val="20"/>
          <w:lang w:val="de-DE"/>
        </w:rPr>
        <w:t>.</w:t>
      </w:r>
      <w:r w:rsidRPr="00B72C03">
        <w:rPr>
          <w:sz w:val="20"/>
          <w:szCs w:val="20"/>
        </w:rPr>
        <w:t xml:space="preserve"> Auf diese Änderungsmeldung muss die andere Vertragspartei innerhalb von 24 Stunden (bezogen auf Arbeitstage) antworten. Danach übermittelt EKP</w:t>
      </w:r>
      <w:r w:rsidRPr="00B72C03">
        <w:rPr>
          <w:sz w:val="20"/>
          <w:szCs w:val="20"/>
          <w:vertAlign w:val="subscript"/>
        </w:rPr>
        <w:t>auf</w:t>
      </w:r>
      <w:r w:rsidRPr="00B72C03">
        <w:rPr>
          <w:sz w:val="20"/>
          <w:szCs w:val="20"/>
        </w:rPr>
        <w:t xml:space="preserve"> </w:t>
      </w:r>
      <w:r w:rsidRPr="00B72C03" w:rsidR="003C4F5C">
        <w:rPr>
          <w:sz w:val="20"/>
          <w:szCs w:val="20"/>
        </w:rPr>
        <w:t>unverzüglich</w:t>
      </w:r>
      <w:r w:rsidRPr="00B72C03" w:rsidR="003C4F5C">
        <w:rPr>
          <w:i/>
          <w:sz w:val="20"/>
          <w:szCs w:val="20"/>
        </w:rPr>
        <w:t xml:space="preserve"> </w:t>
      </w:r>
      <w:r w:rsidRPr="00B72C03">
        <w:rPr>
          <w:sz w:val="20"/>
          <w:szCs w:val="20"/>
        </w:rPr>
        <w:t>eine geänderte Vorabstimmungsanfrage an EKP</w:t>
      </w:r>
      <w:r w:rsidRPr="00B72C03">
        <w:rPr>
          <w:sz w:val="20"/>
          <w:szCs w:val="20"/>
          <w:vertAlign w:val="subscript"/>
        </w:rPr>
        <w:t>abg</w:t>
      </w:r>
      <w:r w:rsidRPr="00B72C03">
        <w:rPr>
          <w:sz w:val="20"/>
          <w:szCs w:val="20"/>
        </w:rPr>
        <w:t xml:space="preserve">, welche dieser wie in Ziffer </w:t>
      </w:r>
      <w:r w:rsidRPr="00B72C03">
        <w:rPr>
          <w:sz w:val="20"/>
          <w:szCs w:val="20"/>
        </w:rPr>
        <w:fldChar w:fldCharType="begin"/>
      </w:r>
      <w:r w:rsidRPr="00B72C03">
        <w:rPr>
          <w:sz w:val="20"/>
          <w:szCs w:val="20"/>
        </w:rPr>
        <w:instrText xml:space="preserve"> REF _Ref340766933 \r \h  \* MERGEFORMAT </w:instrText>
      </w:r>
      <w:r w:rsidRPr="00B72C03">
        <w:rPr>
          <w:sz w:val="20"/>
          <w:szCs w:val="20"/>
        </w:rPr>
      </w:r>
      <w:r w:rsidRPr="00B72C03">
        <w:rPr>
          <w:sz w:val="20"/>
          <w:szCs w:val="20"/>
        </w:rPr>
        <w:fldChar w:fldCharType="separate"/>
      </w:r>
      <w:r w:rsidRPr="00B72C03" w:rsidR="00391649">
        <w:rPr>
          <w:sz w:val="20"/>
          <w:szCs w:val="20"/>
        </w:rPr>
        <w:t>2.6.2</w:t>
      </w:r>
      <w:r w:rsidRPr="00B72C03">
        <w:rPr>
          <w:sz w:val="20"/>
          <w:szCs w:val="20"/>
        </w:rPr>
        <w:fldChar w:fldCharType="end"/>
      </w:r>
      <w:r w:rsidRPr="00B72C03">
        <w:rPr>
          <w:sz w:val="20"/>
          <w:szCs w:val="20"/>
        </w:rPr>
        <w:t xml:space="preserve"> beschrieben beantwortet.</w:t>
      </w:r>
      <w:r w:rsidRPr="00B72C03" w:rsidR="00FE6B0F">
        <w:rPr>
          <w:sz w:val="20"/>
          <w:szCs w:val="20"/>
        </w:rPr>
        <w:t xml:space="preserve"> Sofern die Vorabstimmungsanfrage nicht bis </w:t>
      </w:r>
      <w:r w:rsidRPr="00B72C03" w:rsidR="004C1CB9">
        <w:rPr>
          <w:sz w:val="20"/>
          <w:szCs w:val="20"/>
        </w:rPr>
        <w:t>sieben</w:t>
      </w:r>
      <w:r w:rsidRPr="00B72C03" w:rsidR="009A20BD">
        <w:rPr>
          <w:sz w:val="20"/>
          <w:szCs w:val="20"/>
        </w:rPr>
        <w:t xml:space="preserve"> </w:t>
      </w:r>
      <w:r w:rsidRPr="00B72C03" w:rsidR="00FE6B0F">
        <w:rPr>
          <w:sz w:val="20"/>
          <w:szCs w:val="20"/>
        </w:rPr>
        <w:t>Arbeitstage</w:t>
      </w:r>
      <w:r w:rsidRPr="00B72C03" w:rsidR="00CB53B4">
        <w:rPr>
          <w:color w:val="FF00FF"/>
          <w:sz w:val="20"/>
          <w:szCs w:val="20"/>
        </w:rPr>
        <w:t xml:space="preserve"> </w:t>
      </w:r>
      <w:r w:rsidRPr="00B72C03" w:rsidR="00FE6B0F">
        <w:rPr>
          <w:sz w:val="20"/>
          <w:szCs w:val="20"/>
        </w:rPr>
        <w:t xml:space="preserve">vor dem ursprünglich abgestimmten Wechseltermin und </w:t>
      </w:r>
      <w:r w:rsidRPr="00B72C03" w:rsidR="00CB53B4">
        <w:rPr>
          <w:sz w:val="20"/>
          <w:szCs w:val="20"/>
        </w:rPr>
        <w:t>ggf.</w:t>
      </w:r>
      <w:r w:rsidRPr="00B72C03" w:rsidR="00EA63C1">
        <w:rPr>
          <w:sz w:val="20"/>
          <w:szCs w:val="20"/>
        </w:rPr>
        <w:t xml:space="preserve"> </w:t>
      </w:r>
      <w:r w:rsidRPr="00B72C03" w:rsidR="00FE6B0F">
        <w:rPr>
          <w:sz w:val="20"/>
          <w:szCs w:val="20"/>
        </w:rPr>
        <w:t xml:space="preserve">nach Eskalation eingeht, </w:t>
      </w:r>
      <w:r w:rsidRPr="00B72C03" w:rsidR="00F15053">
        <w:rPr>
          <w:sz w:val="20"/>
          <w:szCs w:val="20"/>
        </w:rPr>
        <w:t>wird das Ergebnis der</w:t>
      </w:r>
      <w:r w:rsidRPr="00B72C03" w:rsidR="000B0877">
        <w:rPr>
          <w:sz w:val="20"/>
          <w:szCs w:val="20"/>
        </w:rPr>
        <w:t xml:space="preserve"> erste</w:t>
      </w:r>
      <w:r w:rsidRPr="00B72C03" w:rsidR="00F15053">
        <w:rPr>
          <w:sz w:val="20"/>
          <w:szCs w:val="20"/>
        </w:rPr>
        <w:t>n</w:t>
      </w:r>
      <w:r w:rsidRPr="00B72C03" w:rsidR="000B0877">
        <w:rPr>
          <w:sz w:val="20"/>
          <w:szCs w:val="20"/>
        </w:rPr>
        <w:t xml:space="preserve"> Vorabstimmung </w:t>
      </w:r>
      <w:r w:rsidRPr="00B72C03" w:rsidR="00F15053">
        <w:rPr>
          <w:sz w:val="20"/>
          <w:szCs w:val="20"/>
        </w:rPr>
        <w:t>gegenstandslos</w:t>
      </w:r>
      <w:r w:rsidRPr="00B72C03" w:rsidR="000B0877">
        <w:rPr>
          <w:sz w:val="20"/>
          <w:szCs w:val="20"/>
        </w:rPr>
        <w:t>.</w:t>
      </w:r>
    </w:p>
    <w:p w:rsidRPr="00B72C03" w:rsidR="00EE439B" w:rsidP="00B402B3" w:rsidRDefault="00EE439B" w14:paraId="2DC38550" w14:textId="77777777">
      <w:pPr>
        <w:pStyle w:val="Level3"/>
        <w:numPr>
          <w:ilvl w:val="2"/>
          <w:numId w:val="16"/>
        </w:numPr>
        <w:rPr>
          <w:sz w:val="20"/>
          <w:szCs w:val="20"/>
        </w:rPr>
      </w:pPr>
      <w:r w:rsidRPr="00B72C03">
        <w:rPr>
          <w:sz w:val="20"/>
          <w:szCs w:val="20"/>
        </w:rPr>
        <w:t>Die Vertragsparteien informieren im Falle der positiven Änderungsantwort</w:t>
      </w:r>
      <w:r w:rsidRPr="00B72C03" w:rsidR="00B753D8">
        <w:rPr>
          <w:sz w:val="20"/>
          <w:szCs w:val="20"/>
        </w:rPr>
        <w:t>,</w:t>
      </w:r>
      <w:r w:rsidRPr="00B72C03">
        <w:rPr>
          <w:sz w:val="20"/>
          <w:szCs w:val="20"/>
        </w:rPr>
        <w:t xml:space="preserve"> soweit erforderlich</w:t>
      </w:r>
      <w:r w:rsidRPr="00B72C03" w:rsidR="00B753D8">
        <w:rPr>
          <w:sz w:val="20"/>
          <w:szCs w:val="20"/>
        </w:rPr>
        <w:t>,</w:t>
      </w:r>
      <w:r w:rsidRPr="00B72C03">
        <w:rPr>
          <w:sz w:val="20"/>
          <w:szCs w:val="20"/>
        </w:rPr>
        <w:t xml:space="preserve"> unverzüglich ihre jeweiligen TNBs, damit diese etwaige Aufträge bzgl. der technischen Ressource (z.B. Kündigung oder Bereitstellung) stornieren können. </w:t>
      </w:r>
    </w:p>
    <w:p w:rsidRPr="00B72C03" w:rsidR="00EE439B" w:rsidP="00B402B3" w:rsidRDefault="00EE439B" w14:paraId="40DE2CD9" w14:textId="77777777">
      <w:pPr>
        <w:pStyle w:val="Level3"/>
        <w:numPr>
          <w:ilvl w:val="2"/>
          <w:numId w:val="16"/>
        </w:numPr>
        <w:rPr>
          <w:sz w:val="20"/>
          <w:szCs w:val="20"/>
        </w:rPr>
      </w:pPr>
      <w:r w:rsidRPr="00B72C03">
        <w:rPr>
          <w:sz w:val="20"/>
          <w:szCs w:val="20"/>
        </w:rPr>
        <w:t>Eine Änderung des Ergebnisses der Vorabstimmung ist nicht für Terminverschiebungen</w:t>
      </w:r>
      <w:r w:rsidRPr="00B72C03">
        <w:rPr>
          <w:kern w:val="0"/>
          <w:sz w:val="20"/>
          <w:szCs w:val="20"/>
        </w:rPr>
        <w:t xml:space="preserve"> gemäß Ziffer </w:t>
      </w:r>
      <w:r w:rsidRPr="00B72C03">
        <w:rPr>
          <w:sz w:val="20"/>
          <w:szCs w:val="20"/>
        </w:rPr>
        <w:fldChar w:fldCharType="begin"/>
      </w:r>
      <w:r w:rsidRPr="00B72C03">
        <w:rPr>
          <w:sz w:val="20"/>
          <w:szCs w:val="20"/>
        </w:rPr>
        <w:instrText xml:space="preserve"> REF _Ref345323937 \r \h  \* MERGEFORMAT </w:instrText>
      </w:r>
      <w:r w:rsidRPr="00B72C03">
        <w:rPr>
          <w:sz w:val="20"/>
          <w:szCs w:val="20"/>
        </w:rPr>
      </w:r>
      <w:r w:rsidRPr="00B72C03">
        <w:rPr>
          <w:sz w:val="20"/>
          <w:szCs w:val="20"/>
        </w:rPr>
        <w:fldChar w:fldCharType="separate"/>
      </w:r>
      <w:r w:rsidRPr="00B72C03" w:rsidR="00391649">
        <w:rPr>
          <w:sz w:val="20"/>
          <w:szCs w:val="20"/>
        </w:rPr>
        <w:t>4.4</w:t>
      </w:r>
      <w:r w:rsidRPr="00B72C03">
        <w:rPr>
          <w:sz w:val="20"/>
          <w:szCs w:val="20"/>
        </w:rPr>
        <w:fldChar w:fldCharType="end"/>
      </w:r>
      <w:r w:rsidRPr="00B72C03">
        <w:rPr>
          <w:sz w:val="20"/>
          <w:szCs w:val="20"/>
        </w:rPr>
        <w:t xml:space="preserve"> oder für nachträgliche Ablehnungen der Vorabstimmungsanfrage</w:t>
      </w:r>
      <w:r w:rsidRPr="00B72C03" w:rsidR="00AD6515">
        <w:rPr>
          <w:sz w:val="20"/>
          <w:szCs w:val="20"/>
        </w:rPr>
        <w:t xml:space="preserve"> </w:t>
      </w:r>
      <w:r w:rsidRPr="00B72C03" w:rsidR="005A58B8">
        <w:rPr>
          <w:sz w:val="20"/>
          <w:szCs w:val="20"/>
        </w:rPr>
        <w:t>zulässig.</w:t>
      </w:r>
    </w:p>
    <w:p w:rsidRPr="00B72C03" w:rsidR="00EE439B" w:rsidP="00EE439B" w:rsidRDefault="00EE439B" w14:paraId="266B520E" w14:textId="77777777">
      <w:pPr>
        <w:pStyle w:val="Level3"/>
        <w:numPr>
          <w:ilvl w:val="2"/>
          <w:numId w:val="16"/>
        </w:numPr>
      </w:pPr>
      <w:r w:rsidRPr="00B72C03">
        <w:rPr>
          <w:rFonts w:cs="Arial"/>
          <w:sz w:val="20"/>
          <w:szCs w:val="20"/>
        </w:rPr>
        <w:t>Änderungsmöglichkeiten EKP</w:t>
      </w:r>
      <w:r w:rsidRPr="00B72C03">
        <w:rPr>
          <w:rFonts w:cs="Arial"/>
          <w:sz w:val="20"/>
          <w:szCs w:val="20"/>
          <w:vertAlign w:val="subscript"/>
        </w:rPr>
        <w:t>auf</w:t>
      </w:r>
    </w:p>
    <w:p w:rsidRPr="00B72C03" w:rsidR="00EE439B" w:rsidP="00EE439B" w:rsidRDefault="00EE439B" w14:paraId="7E37B906" w14:textId="1116E1CD">
      <w:pPr>
        <w:pStyle w:val="Level4"/>
        <w:numPr>
          <w:ilvl w:val="3"/>
          <w:numId w:val="16"/>
        </w:numPr>
        <w:tabs>
          <w:tab w:val="num" w:pos="1701"/>
        </w:tabs>
        <w:ind w:left="1701" w:hanging="340"/>
      </w:pPr>
      <w:r w:rsidRPr="00B72C03">
        <w:t>EKP</w:t>
      </w:r>
      <w:r w:rsidRPr="00B72C03">
        <w:rPr>
          <w:vertAlign w:val="subscript"/>
        </w:rPr>
        <w:t>auf</w:t>
      </w:r>
      <w:r w:rsidRPr="00B72C03">
        <w:t xml:space="preserve"> kann eine Änderungsmeldung zum Vorabstimmungsergebnis immer und ohne Angabe von Gründen übermitteln. Eine Änderungsmeldung kann von EKP</w:t>
      </w:r>
      <w:r w:rsidRPr="00B72C03">
        <w:rPr>
          <w:vertAlign w:val="subscript"/>
        </w:rPr>
        <w:t xml:space="preserve">auf </w:t>
      </w:r>
      <w:r w:rsidRPr="00B72C03">
        <w:t xml:space="preserve">nach Erhalt der Vorabstimmungsantwort gemäß Ziffer </w:t>
      </w:r>
      <w:r w:rsidRPr="00B72C03" w:rsidR="00BD6BB1">
        <w:t>2.</w:t>
      </w:r>
      <w:r w:rsidRPr="00B72C03" w:rsidR="00115646">
        <w:t>10.1</w:t>
      </w:r>
      <w:r w:rsidRPr="00B72C03">
        <w:t xml:space="preserve"> der Anlage 3 an EKP</w:t>
      </w:r>
      <w:r w:rsidRPr="00B72C03">
        <w:rPr>
          <w:vertAlign w:val="subscript"/>
        </w:rPr>
        <w:t>abg</w:t>
      </w:r>
      <w:r w:rsidRPr="00B72C03">
        <w:t xml:space="preserve"> übermittelt werden.</w:t>
      </w:r>
    </w:p>
    <w:p w:rsidRPr="00B72C03" w:rsidR="00EE439B" w:rsidP="00EE439B" w:rsidRDefault="00EE439B" w14:paraId="3AC2287F" w14:textId="35E13550">
      <w:pPr>
        <w:pStyle w:val="Level4"/>
        <w:numPr>
          <w:ilvl w:val="3"/>
          <w:numId w:val="16"/>
        </w:numPr>
        <w:tabs>
          <w:tab w:val="num" w:pos="1701"/>
        </w:tabs>
        <w:ind w:left="1701" w:hanging="340"/>
      </w:pPr>
      <w:r w:rsidRPr="00B72C03">
        <w:t xml:space="preserve">Der Inhalt und der Aufbau einer Änderungsmeldung bestimmt sich nach Ziffer </w:t>
      </w:r>
      <w:r w:rsidRPr="00B72C03" w:rsidR="00BD6BB1">
        <w:t xml:space="preserve">2.2 </w:t>
      </w:r>
      <w:r w:rsidRPr="00B72C03">
        <w:t>der Anlage 3, wobei die Änderungsmeldung die im „Kann/Muss“ Feld als „Muss“ bezeichneten Inhalte enthalten muss. EKP</w:t>
      </w:r>
      <w:r w:rsidRPr="00B72C03">
        <w:rPr>
          <w:vertAlign w:val="subscript"/>
        </w:rPr>
        <w:t>abg</w:t>
      </w:r>
      <w:r w:rsidRPr="00B72C03">
        <w:t xml:space="preserve"> antwortet auf die Ände</w:t>
      </w:r>
      <w:r w:rsidRPr="00B72C03">
        <w:lastRenderedPageBreak/>
        <w:t>rungsmeldung innerhalb von 24 Stunden (bezogen auf Arbeitstage) mit einer Änderungsantwort, welche die im „Kann/Muss“ Feld als „Muss“ bezeichneten Inhalte enthalten muss.</w:t>
      </w:r>
    </w:p>
    <w:p w:rsidRPr="00B72C03" w:rsidR="00EE439B" w:rsidP="00EE439B" w:rsidRDefault="00EE439B" w14:paraId="459859CB" w14:textId="77777777">
      <w:pPr>
        <w:pStyle w:val="Level4"/>
        <w:numPr>
          <w:ilvl w:val="3"/>
          <w:numId w:val="16"/>
        </w:numPr>
        <w:tabs>
          <w:tab w:val="num" w:pos="1701"/>
        </w:tabs>
        <w:ind w:left="1701" w:hanging="340"/>
      </w:pPr>
      <w:r w:rsidRPr="00B72C03">
        <w:t>EKP</w:t>
      </w:r>
      <w:r w:rsidRPr="00B72C03">
        <w:rPr>
          <w:vertAlign w:val="subscript"/>
        </w:rPr>
        <w:t>abg</w:t>
      </w:r>
      <w:r w:rsidRPr="00B72C03">
        <w:t xml:space="preserve"> kann die Änderungsmeldung nur ablehnen, sofern die Änderungsmeldung fehlerhafte Angaben enthält oder unvollständig ist, oder mit einem kürzeren zeitlichen Vorlauf als acht</w:t>
      </w:r>
      <w:bookmarkStart w:name="_msoanchor_1" w:id="22"/>
      <w:r w:rsidRPr="00B72C03" w:rsidR="00E15EE3">
        <w:t xml:space="preserve"> </w:t>
      </w:r>
      <w:bookmarkEnd w:id="22"/>
      <w:r w:rsidRPr="00B72C03">
        <w:t>Arbeitstage</w:t>
      </w:r>
      <w:r w:rsidRPr="00B72C03" w:rsidR="00824821">
        <w:t xml:space="preserve"> </w:t>
      </w:r>
      <w:r w:rsidRPr="00B72C03">
        <w:t xml:space="preserve">vor dem in der Vorabstimmungsantwort bestätigten Wechseltermin eingeht.  </w:t>
      </w:r>
    </w:p>
    <w:p w:rsidRPr="00B72C03" w:rsidR="00EE439B" w:rsidP="00EE439B" w:rsidRDefault="00EE439B" w14:paraId="00B9896E" w14:textId="77777777">
      <w:pPr>
        <w:pStyle w:val="Level3"/>
        <w:numPr>
          <w:ilvl w:val="2"/>
          <w:numId w:val="16"/>
        </w:numPr>
        <w:rPr>
          <w:rFonts w:cs="Arial"/>
          <w:szCs w:val="20"/>
        </w:rPr>
      </w:pPr>
      <w:r w:rsidRPr="00B72C03">
        <w:rPr>
          <w:rFonts w:cs="Arial"/>
          <w:sz w:val="20"/>
          <w:szCs w:val="20"/>
        </w:rPr>
        <w:t>Änderungsmöglichkeiten EKP</w:t>
      </w:r>
      <w:r w:rsidRPr="00B72C03">
        <w:rPr>
          <w:rFonts w:cs="Arial"/>
          <w:sz w:val="20"/>
          <w:szCs w:val="20"/>
          <w:vertAlign w:val="subscript"/>
        </w:rPr>
        <w:t>abg</w:t>
      </w:r>
    </w:p>
    <w:p w:rsidRPr="00B72C03" w:rsidR="00EE439B" w:rsidP="00EE439B" w:rsidRDefault="00EE439B" w14:paraId="68D9FBC7" w14:textId="1BC70E9D">
      <w:pPr>
        <w:pStyle w:val="Level4"/>
        <w:numPr>
          <w:ilvl w:val="3"/>
          <w:numId w:val="16"/>
        </w:numPr>
        <w:tabs>
          <w:tab w:val="num" w:pos="1701"/>
        </w:tabs>
        <w:ind w:left="1701" w:hanging="340"/>
      </w:pPr>
      <w:r w:rsidRPr="00B72C03">
        <w:t>EKP</w:t>
      </w:r>
      <w:r w:rsidRPr="00B72C03">
        <w:rPr>
          <w:vertAlign w:val="subscript"/>
        </w:rPr>
        <w:t>abg</w:t>
      </w:r>
      <w:r w:rsidRPr="00B72C03">
        <w:t xml:space="preserve"> kann nur aus den</w:t>
      </w:r>
      <w:r w:rsidRPr="00B72C03" w:rsidR="0032104D">
        <w:t xml:space="preserve"> und im Wege der</w:t>
      </w:r>
      <w:r w:rsidRPr="00B72C03">
        <w:t xml:space="preserve"> in Ziffer </w:t>
      </w:r>
      <w:r w:rsidRPr="00B72C03" w:rsidR="00E51912">
        <w:t>2.10.</w:t>
      </w:r>
      <w:r w:rsidRPr="00B72C03" w:rsidR="00BD6BB1">
        <w:t>2</w:t>
      </w:r>
      <w:r w:rsidRPr="00B72C03">
        <w:t xml:space="preserve"> der Anlage 3 genannten Gründen und Verfahren eine Änderungsmitteilung an EKP</w:t>
      </w:r>
      <w:r w:rsidRPr="00B72C03">
        <w:rPr>
          <w:vertAlign w:val="subscript"/>
        </w:rPr>
        <w:t>auf</w:t>
      </w:r>
      <w:r w:rsidRPr="00B72C03">
        <w:t xml:space="preserve"> übermitteln.</w:t>
      </w:r>
    </w:p>
    <w:p w:rsidRPr="00B72C03" w:rsidR="00EE439B" w:rsidP="00EE439B" w:rsidRDefault="00EE439B" w14:paraId="0D9CF1B1" w14:textId="3E885AA0">
      <w:pPr>
        <w:pStyle w:val="Level4"/>
        <w:numPr>
          <w:ilvl w:val="3"/>
          <w:numId w:val="16"/>
        </w:numPr>
        <w:tabs>
          <w:tab w:val="num" w:pos="1701"/>
        </w:tabs>
        <w:ind w:left="1701" w:hanging="340"/>
      </w:pPr>
      <w:r w:rsidRPr="00B72C03">
        <w:t xml:space="preserve">Der Inhalt und der Aufbau einer Änderungsmeldung bestimmt sich nach Ziffer </w:t>
      </w:r>
      <w:r w:rsidRPr="00B72C03" w:rsidR="00E51912">
        <w:t>2.10.</w:t>
      </w:r>
      <w:r w:rsidRPr="00B72C03" w:rsidR="00BD6BB1">
        <w:t>2</w:t>
      </w:r>
      <w:r w:rsidRPr="00B72C03">
        <w:t xml:space="preserve"> der Anlage 3, wobei die Änderungsmeldung die im „Kann/Muss“ Feld als „Muss“ bezeichneten Inhalte enthalten muss. EKP</w:t>
      </w:r>
      <w:r w:rsidRPr="00B72C03">
        <w:rPr>
          <w:vertAlign w:val="subscript"/>
        </w:rPr>
        <w:t>auf</w:t>
      </w:r>
      <w:r w:rsidRPr="00B72C03">
        <w:t xml:space="preserve"> antwortet auf die Änderungsmeldung von EKP</w:t>
      </w:r>
      <w:r w:rsidRPr="00B72C03">
        <w:rPr>
          <w:vertAlign w:val="subscript"/>
        </w:rPr>
        <w:t>abg</w:t>
      </w:r>
      <w:r w:rsidRPr="00B72C03">
        <w:t xml:space="preserve"> innerhalb von 24 Stunden (bezogen auf Arbeitstage</w:t>
      </w:r>
      <w:r w:rsidRPr="00B72C03" w:rsidR="001E654A">
        <w:t>)</w:t>
      </w:r>
      <w:r w:rsidRPr="00B72C03">
        <w:t xml:space="preserve"> mit einer Änderungsantwort, welche die im „Kann/Muss“ Feld als „Muss“ bezeichneten Inhalte enthalten muss.</w:t>
      </w:r>
    </w:p>
    <w:p w:rsidRPr="00B72C03" w:rsidR="00EE439B" w:rsidP="00824821" w:rsidRDefault="00EE439B" w14:paraId="58F0BD8F" w14:textId="3B979705">
      <w:pPr>
        <w:pStyle w:val="Level4"/>
        <w:numPr>
          <w:ilvl w:val="3"/>
          <w:numId w:val="16"/>
        </w:numPr>
        <w:tabs>
          <w:tab w:val="num" w:pos="1701"/>
        </w:tabs>
        <w:ind w:left="1701" w:hanging="340"/>
      </w:pPr>
      <w:r w:rsidRPr="00B72C03">
        <w:t>Sofern EKP</w:t>
      </w:r>
      <w:r w:rsidRPr="00B72C03">
        <w:rPr>
          <w:vertAlign w:val="subscript"/>
        </w:rPr>
        <w:t>auf</w:t>
      </w:r>
      <w:r w:rsidRPr="00B72C03">
        <w:t xml:space="preserve"> berechtigte Zweifel am Vorliegen des von EKP</w:t>
      </w:r>
      <w:r w:rsidRPr="00B72C03">
        <w:rPr>
          <w:vertAlign w:val="subscript"/>
        </w:rPr>
        <w:t>abg</w:t>
      </w:r>
      <w:r w:rsidRPr="00B72C03">
        <w:t xml:space="preserve"> angegeben Grundes hat</w:t>
      </w:r>
      <w:r w:rsidR="00205E7D">
        <w:t>,</w:t>
      </w:r>
      <w:r w:rsidRPr="00B72C03">
        <w:t xml:space="preserve"> oder wenn die Änderungsmeldung fehlerhaft oder unvollständig ist oder mit einem kürzeren zeitlichen Vorlauf als acht Arbeitstage vor dem in der Vorabstimmungsantwort bestätigten Wechseltermin eingeht, kann EKP</w:t>
      </w:r>
      <w:r w:rsidRPr="00B72C03">
        <w:rPr>
          <w:vertAlign w:val="subscript"/>
        </w:rPr>
        <w:t>auf</w:t>
      </w:r>
      <w:r w:rsidRPr="00B72C03">
        <w:t xml:space="preserve"> die Änderungsmeldung unter Nennung des jeweiligen Grundes mit den Inhalten nach Ziffer </w:t>
      </w:r>
      <w:r w:rsidRPr="00B72C03" w:rsidR="00BD6BB1">
        <w:t>2.10.2</w:t>
      </w:r>
      <w:r w:rsidRPr="00B72C03">
        <w:rPr>
          <w:i/>
        </w:rPr>
        <w:fldChar w:fldCharType="begin"/>
      </w:r>
      <w:r w:rsidRPr="00B72C03">
        <w:rPr>
          <w:i/>
        </w:rPr>
        <w:instrText xml:space="preserve"> REF _Ref340838320 r h  * MERGEFORMAT  \* MERGEFORMAT </w:instrText>
      </w:r>
      <w:r w:rsidRPr="00B72C03">
        <w:rPr>
          <w:i/>
        </w:rPr>
        <w:fldChar w:fldCharType="end"/>
      </w:r>
      <w:r w:rsidRPr="00B72C03" w:rsidR="00CB4C1D">
        <w:rPr>
          <w:i/>
        </w:rPr>
        <w:t xml:space="preserve"> </w:t>
      </w:r>
      <w:r w:rsidRPr="00B72C03" w:rsidR="00CB4C1D">
        <w:t xml:space="preserve">der Anlage </w:t>
      </w:r>
      <w:r w:rsidRPr="00B72C03" w:rsidR="00E17C89">
        <w:t>3</w:t>
      </w:r>
      <w:r w:rsidRPr="00B72C03" w:rsidR="00CB4C1D">
        <w:rPr>
          <w:i/>
        </w:rPr>
        <w:t xml:space="preserve"> </w:t>
      </w:r>
      <w:r w:rsidRPr="00B72C03">
        <w:t xml:space="preserve">ablehnen. </w:t>
      </w:r>
    </w:p>
    <w:p w:rsidRPr="00B72C03" w:rsidR="00EE439B" w:rsidP="00824821" w:rsidRDefault="00EE439B" w14:paraId="26A501E0" w14:textId="70442C37">
      <w:pPr>
        <w:pStyle w:val="Level4"/>
        <w:numPr>
          <w:ilvl w:val="3"/>
          <w:numId w:val="16"/>
        </w:numPr>
        <w:tabs>
          <w:tab w:val="num" w:pos="1701"/>
        </w:tabs>
        <w:ind w:left="1701" w:hanging="340"/>
      </w:pPr>
      <w:r w:rsidRPr="00B72C03">
        <w:t>Sofern EKP</w:t>
      </w:r>
      <w:r w:rsidRPr="00B72C03">
        <w:rPr>
          <w:vertAlign w:val="subscript"/>
        </w:rPr>
        <w:t>abg</w:t>
      </w:r>
      <w:r w:rsidRPr="00B72C03">
        <w:t xml:space="preserve"> eine Änderungsmeldung mit Grund Terminvorziehung anfragt, prüft EKP</w:t>
      </w:r>
      <w:r w:rsidRPr="00B72C03">
        <w:rPr>
          <w:vertAlign w:val="subscript"/>
        </w:rPr>
        <w:t>auf</w:t>
      </w:r>
      <w:r w:rsidRPr="00B72C03">
        <w:t xml:space="preserve"> zudem ob und ggf. zu wann eine Terminvorziehung möglich ist. Im Rahmen der erneuten Vorabstimmung gibt EKP</w:t>
      </w:r>
      <w:r w:rsidRPr="00B72C03">
        <w:rPr>
          <w:vertAlign w:val="subscript"/>
        </w:rPr>
        <w:t>auf</w:t>
      </w:r>
      <w:r w:rsidRPr="00B72C03">
        <w:t xml:space="preserve"> den ihm frühestmöglichen Termin an. EKP</w:t>
      </w:r>
      <w:r w:rsidRPr="00B72C03">
        <w:rPr>
          <w:vertAlign w:val="subscript"/>
        </w:rPr>
        <w:t>abg</w:t>
      </w:r>
      <w:r w:rsidRPr="00B72C03">
        <w:t xml:space="preserve"> lehnt die Änderungsmeldung mit Grund Terminvorziehung ab, wenn sich der gewünschte frühere Wechseltermin nicht vertraglich oder technisch umsetzen lässt. EKP</w:t>
      </w:r>
      <w:r w:rsidRPr="00B72C03">
        <w:rPr>
          <w:vertAlign w:val="subscript"/>
        </w:rPr>
        <w:t>abg</w:t>
      </w:r>
      <w:r w:rsidRPr="00B72C03">
        <w:t xml:space="preserve"> wird </w:t>
      </w:r>
      <w:r w:rsidRPr="00B72C03" w:rsidR="00BD6BB1">
        <w:t xml:space="preserve">den </w:t>
      </w:r>
      <w:r w:rsidRPr="00B72C03">
        <w:t>Endkunden weiterversorgen, solang</w:t>
      </w:r>
      <w:r w:rsidR="003C6736">
        <w:t>e</w:t>
      </w:r>
      <w:r w:rsidRPr="00B72C03">
        <w:t xml:space="preserve"> und sofern dies gemäß § </w:t>
      </w:r>
      <w:r w:rsidR="003C6736">
        <w:t>59</w:t>
      </w:r>
      <w:r w:rsidRPr="00B72C03" w:rsidR="003C6736">
        <w:t xml:space="preserve"> </w:t>
      </w:r>
      <w:r w:rsidRPr="00B72C03">
        <w:t>Abs.</w:t>
      </w:r>
      <w:r w:rsidR="003C6736">
        <w:t>2</w:t>
      </w:r>
      <w:r w:rsidRPr="00B72C03" w:rsidR="003C6736">
        <w:t xml:space="preserve"> </w:t>
      </w:r>
      <w:r w:rsidRPr="00B72C03">
        <w:t>TKG erforderlich ist</w:t>
      </w:r>
    </w:p>
    <w:p w:rsidRPr="00B72C03" w:rsidR="00EE439B" w:rsidP="00824821" w:rsidRDefault="00EE439B" w14:paraId="2345A992" w14:textId="77777777">
      <w:pPr>
        <w:pStyle w:val="Level4"/>
        <w:numPr>
          <w:ilvl w:val="3"/>
          <w:numId w:val="16"/>
        </w:numPr>
        <w:tabs>
          <w:tab w:val="num" w:pos="1701"/>
        </w:tabs>
        <w:ind w:left="1701" w:hanging="340"/>
      </w:pPr>
      <w:r w:rsidRPr="00B72C03">
        <w:t>EKP</w:t>
      </w:r>
      <w:r w:rsidRPr="00B72C03">
        <w:rPr>
          <w:vertAlign w:val="subscript"/>
        </w:rPr>
        <w:t>abg</w:t>
      </w:r>
      <w:r w:rsidRPr="00B72C03">
        <w:t xml:space="preserve"> kann nach einer ablehnenden Änderungsantwort erneut eine korrigierte Änderungsmeldung für denselben Endkunden einstellen.</w:t>
      </w:r>
    </w:p>
    <w:p w:rsidRPr="00B72C03" w:rsidR="00EE439B" w:rsidP="00824821" w:rsidRDefault="00EE439B" w14:paraId="42870C8C" w14:textId="77777777">
      <w:pPr>
        <w:pStyle w:val="Level4"/>
        <w:numPr>
          <w:ilvl w:val="3"/>
          <w:numId w:val="16"/>
        </w:numPr>
        <w:tabs>
          <w:tab w:val="num" w:pos="1701"/>
        </w:tabs>
        <w:ind w:left="1701" w:hanging="340"/>
      </w:pPr>
      <w:r w:rsidRPr="00B72C03">
        <w:t>Sofern EKP</w:t>
      </w:r>
      <w:r w:rsidRPr="00B72C03">
        <w:rPr>
          <w:vertAlign w:val="subscript"/>
        </w:rPr>
        <w:t>auf</w:t>
      </w:r>
      <w:r w:rsidRPr="00B72C03">
        <w:t xml:space="preserve"> das Vorliegen des angegeben Änderungsgrundes angezweifelt hat, wird EKP</w:t>
      </w:r>
      <w:r w:rsidRPr="00B72C03">
        <w:rPr>
          <w:vertAlign w:val="subscript"/>
        </w:rPr>
        <w:t>abg</w:t>
      </w:r>
      <w:r w:rsidRPr="00B72C03">
        <w:t xml:space="preserve"> vor Einstellung der erneuten Änderungsmeldung die ihm vorliegenden Nachweise für den Grund übermitteln. EKP</w:t>
      </w:r>
      <w:r w:rsidRPr="00B72C03">
        <w:rPr>
          <w:vertAlign w:val="subscript"/>
        </w:rPr>
        <w:t>auf</w:t>
      </w:r>
      <w:r w:rsidRPr="00B72C03">
        <w:t xml:space="preserve"> stimmt der erneuten Änderungsmeldung mittels Änderungsantwort in diesem Fall nur dann zu, wenn er nach Prüfung der Nachweise das Bestehen des Grundes verifiziert hat. </w:t>
      </w:r>
    </w:p>
    <w:p w:rsidRPr="00B72C03" w:rsidR="00EE439B" w:rsidP="00824821" w:rsidRDefault="00EE439B" w14:paraId="51F92DC7" w14:textId="77777777">
      <w:pPr>
        <w:pStyle w:val="Level4"/>
        <w:numPr>
          <w:ilvl w:val="3"/>
          <w:numId w:val="16"/>
        </w:numPr>
        <w:tabs>
          <w:tab w:val="num" w:pos="1701"/>
        </w:tabs>
        <w:ind w:left="1701" w:hanging="340"/>
      </w:pPr>
      <w:r w:rsidRPr="00B72C03">
        <w:t>Sofern EKP</w:t>
      </w:r>
      <w:r w:rsidRPr="00B72C03">
        <w:rPr>
          <w:vertAlign w:val="subscript"/>
        </w:rPr>
        <w:t>auf</w:t>
      </w:r>
      <w:r w:rsidRPr="00B72C03">
        <w:t xml:space="preserve"> nicht ablehnt, bestätigt er die Änderungsmeldung mittels Änderungsantwort.</w:t>
      </w:r>
    </w:p>
    <w:p w:rsidR="003C6736" w:rsidRDefault="003C6736" w14:paraId="5F5DF9BE" w14:textId="626FC285">
      <w:pPr>
        <w:rPr>
          <w:kern w:val="20"/>
        </w:rPr>
      </w:pPr>
      <w:r>
        <w:br w:type="page"/>
      </w:r>
    </w:p>
    <w:p w:rsidRPr="00B72C03" w:rsidR="00EE439B" w:rsidP="00B402B3" w:rsidRDefault="00EE439B" w14:paraId="3342CEAF" w14:textId="77777777">
      <w:pPr>
        <w:pStyle w:val="Level2"/>
        <w:numPr>
          <w:ilvl w:val="1"/>
          <w:numId w:val="16"/>
        </w:numPr>
      </w:pPr>
      <w:bookmarkStart w:name="_Ref345323937" w:id="23"/>
      <w:r w:rsidRPr="00B72C03">
        <w:lastRenderedPageBreak/>
        <w:t>Terminverschiebung</w:t>
      </w:r>
      <w:bookmarkEnd w:id="23"/>
    </w:p>
    <w:p w:rsidRPr="00B72C03" w:rsidR="00EE439B" w:rsidP="00400009" w:rsidRDefault="00EE439B" w14:paraId="24FFCF31" w14:textId="4AF47188">
      <w:pPr>
        <w:pStyle w:val="Level3"/>
        <w:numPr>
          <w:ilvl w:val="2"/>
          <w:numId w:val="16"/>
        </w:numPr>
        <w:rPr>
          <w:sz w:val="20"/>
          <w:szCs w:val="20"/>
        </w:rPr>
      </w:pPr>
      <w:r w:rsidRPr="00B72C03">
        <w:rPr>
          <w:sz w:val="20"/>
          <w:szCs w:val="20"/>
        </w:rPr>
        <w:t>Hierzu übermittelt EKP</w:t>
      </w:r>
      <w:r w:rsidRPr="00B72C03">
        <w:rPr>
          <w:sz w:val="20"/>
          <w:szCs w:val="20"/>
          <w:vertAlign w:val="subscript"/>
        </w:rPr>
        <w:t>auf</w:t>
      </w:r>
      <w:r w:rsidRPr="00B72C03">
        <w:rPr>
          <w:sz w:val="20"/>
          <w:szCs w:val="20"/>
        </w:rPr>
        <w:t xml:space="preserve"> an EKP</w:t>
      </w:r>
      <w:r w:rsidRPr="00B72C03">
        <w:rPr>
          <w:sz w:val="20"/>
          <w:szCs w:val="20"/>
          <w:vertAlign w:val="subscript"/>
        </w:rPr>
        <w:t>abg</w:t>
      </w:r>
      <w:r w:rsidRPr="00B72C03">
        <w:rPr>
          <w:sz w:val="20"/>
          <w:szCs w:val="20"/>
        </w:rPr>
        <w:t xml:space="preserve"> eine Terminverschiebungsanfrage gemäß Ziffer </w:t>
      </w:r>
      <w:r w:rsidRPr="00B72C03" w:rsidR="00BD6BB1">
        <w:rPr>
          <w:sz w:val="20"/>
          <w:szCs w:val="20"/>
          <w:lang w:val="de-DE"/>
        </w:rPr>
        <w:t>2.11</w:t>
      </w:r>
      <w:r w:rsidRPr="00B72C03">
        <w:rPr>
          <w:sz w:val="20"/>
          <w:szCs w:val="20"/>
        </w:rPr>
        <w:t xml:space="preserve"> der Anlage 3. Der Inhalt und der Aufbau einer Terminverschiebungsanfrage </w:t>
      </w:r>
      <w:r w:rsidRPr="00B72C03" w:rsidR="00A67816">
        <w:rPr>
          <w:sz w:val="20"/>
          <w:szCs w:val="20"/>
        </w:rPr>
        <w:t xml:space="preserve">bestimmen </w:t>
      </w:r>
      <w:r w:rsidRPr="00B72C03">
        <w:rPr>
          <w:sz w:val="20"/>
          <w:szCs w:val="20"/>
        </w:rPr>
        <w:t xml:space="preserve">sich nach Ziffer </w:t>
      </w:r>
      <w:r w:rsidRPr="00B72C03" w:rsidR="00BD6BB1">
        <w:rPr>
          <w:sz w:val="20"/>
          <w:szCs w:val="20"/>
          <w:lang w:val="de-DE"/>
        </w:rPr>
        <w:t>2.11</w:t>
      </w:r>
      <w:r w:rsidRPr="00B72C03">
        <w:rPr>
          <w:sz w:val="20"/>
          <w:szCs w:val="20"/>
        </w:rPr>
        <w:t xml:space="preserve"> der Anlage 3, wobei die Terminverschiebungsanfrage die im „Kann/Muss“ Feld als „Muss“ bezeichneten Inhalte enthalten muss. EKP</w:t>
      </w:r>
      <w:r w:rsidRPr="00B72C03">
        <w:rPr>
          <w:sz w:val="20"/>
          <w:szCs w:val="20"/>
          <w:vertAlign w:val="subscript"/>
        </w:rPr>
        <w:t>abg</w:t>
      </w:r>
      <w:r w:rsidRPr="00B72C03">
        <w:rPr>
          <w:sz w:val="20"/>
          <w:szCs w:val="20"/>
        </w:rPr>
        <w:t xml:space="preserve"> antwortet auf die Terminverschiebungsanfrage von EKP</w:t>
      </w:r>
      <w:r w:rsidRPr="00B72C03">
        <w:rPr>
          <w:sz w:val="20"/>
          <w:szCs w:val="20"/>
          <w:vertAlign w:val="subscript"/>
        </w:rPr>
        <w:t>auf</w:t>
      </w:r>
      <w:r w:rsidRPr="00B72C03">
        <w:rPr>
          <w:sz w:val="20"/>
          <w:szCs w:val="20"/>
        </w:rPr>
        <w:t xml:space="preserve"> innerhalb von 24 Stunden (bezogen auf Arbeitstage)  mit einer Terminverschiebungsantwort, welche die im „Kann/Muss“ Feld als „Muss“ bezeichneten Inhalte enthalten muss. Eine Terminverschiebung ist erst nach Zugang der positiven Terminverschiebungsantwort von EKP</w:t>
      </w:r>
      <w:r w:rsidRPr="00B72C03">
        <w:rPr>
          <w:sz w:val="20"/>
          <w:szCs w:val="20"/>
          <w:vertAlign w:val="subscript"/>
        </w:rPr>
        <w:t>abg</w:t>
      </w:r>
      <w:r w:rsidRPr="00B72C03">
        <w:rPr>
          <w:sz w:val="20"/>
          <w:szCs w:val="20"/>
        </w:rPr>
        <w:t xml:space="preserve"> bei EKP</w:t>
      </w:r>
      <w:r w:rsidRPr="00B72C03">
        <w:rPr>
          <w:sz w:val="20"/>
          <w:szCs w:val="20"/>
          <w:vertAlign w:val="subscript"/>
        </w:rPr>
        <w:t>auf</w:t>
      </w:r>
      <w:r w:rsidRPr="00B72C03">
        <w:rPr>
          <w:sz w:val="20"/>
          <w:szCs w:val="20"/>
        </w:rPr>
        <w:t xml:space="preserve"> erfolgt.</w:t>
      </w:r>
    </w:p>
    <w:p w:rsidRPr="00B72C03" w:rsidR="00EE439B" w:rsidP="00B402B3" w:rsidRDefault="00EE439B" w14:paraId="04BC4673" w14:textId="5CDB36BC">
      <w:pPr>
        <w:pStyle w:val="Level3"/>
        <w:numPr>
          <w:ilvl w:val="2"/>
          <w:numId w:val="16"/>
        </w:numPr>
        <w:rPr>
          <w:sz w:val="20"/>
          <w:szCs w:val="20"/>
        </w:rPr>
      </w:pPr>
      <w:r w:rsidRPr="00B72C03">
        <w:rPr>
          <w:sz w:val="20"/>
          <w:szCs w:val="20"/>
        </w:rPr>
        <w:t>Ausschließlich EKP</w:t>
      </w:r>
      <w:r w:rsidRPr="00B72C03">
        <w:rPr>
          <w:sz w:val="20"/>
          <w:szCs w:val="20"/>
          <w:vertAlign w:val="subscript"/>
        </w:rPr>
        <w:t>auf</w:t>
      </w:r>
      <w:r w:rsidRPr="00B72C03">
        <w:rPr>
          <w:sz w:val="20"/>
          <w:szCs w:val="20"/>
        </w:rPr>
        <w:t xml:space="preserve"> kann eine Terminverschiebungsanfrage stellen. EKP</w:t>
      </w:r>
      <w:r w:rsidRPr="00B72C03">
        <w:rPr>
          <w:sz w:val="20"/>
          <w:szCs w:val="20"/>
          <w:vertAlign w:val="subscript"/>
        </w:rPr>
        <w:t>auf</w:t>
      </w:r>
      <w:r w:rsidRPr="00B72C03">
        <w:rPr>
          <w:sz w:val="20"/>
          <w:szCs w:val="20"/>
        </w:rPr>
        <w:t xml:space="preserve"> muss eine Terminverschiebungsanfrage unverzüglich stellen, sofern er von der Notwendigkeit hierzu Kenntnis erlangt, insbesondere wenn er von einem anderen</w:t>
      </w:r>
      <w:r w:rsidR="00DB333D">
        <w:rPr>
          <w:sz w:val="20"/>
          <w:szCs w:val="20"/>
          <w:lang w:val="de-DE"/>
        </w:rPr>
        <w:t>,</w:t>
      </w:r>
      <w:r w:rsidRPr="00B72C03">
        <w:rPr>
          <w:sz w:val="20"/>
          <w:szCs w:val="20"/>
        </w:rPr>
        <w:t xml:space="preserve"> als dem ursprünglich vorabgestimmten Ausführungstermin Kenntnis erlangt. </w:t>
      </w:r>
    </w:p>
    <w:p w:rsidRPr="00B72C03" w:rsidR="00EE439B" w:rsidP="00B402B3" w:rsidRDefault="00EE439B" w14:paraId="45E74D5E" w14:textId="77777777">
      <w:pPr>
        <w:pStyle w:val="Level3"/>
        <w:numPr>
          <w:ilvl w:val="2"/>
          <w:numId w:val="16"/>
        </w:numPr>
        <w:rPr>
          <w:sz w:val="20"/>
          <w:szCs w:val="20"/>
        </w:rPr>
      </w:pPr>
      <w:r w:rsidRPr="00B72C03">
        <w:rPr>
          <w:sz w:val="20"/>
          <w:szCs w:val="20"/>
        </w:rPr>
        <w:t>EKP</w:t>
      </w:r>
      <w:r w:rsidRPr="00B72C03">
        <w:rPr>
          <w:sz w:val="20"/>
          <w:szCs w:val="20"/>
          <w:vertAlign w:val="subscript"/>
        </w:rPr>
        <w:t>abg</w:t>
      </w:r>
      <w:r w:rsidRPr="00B72C03">
        <w:rPr>
          <w:sz w:val="20"/>
          <w:szCs w:val="20"/>
        </w:rPr>
        <w:t xml:space="preserve"> kann die Terminverschiebungsanfrage nur unter Angabe eines der folgenden Gründe ablehnen:</w:t>
      </w:r>
    </w:p>
    <w:p w:rsidRPr="00B72C03" w:rsidR="00EE439B" w:rsidP="00824821" w:rsidRDefault="00EE439B" w14:paraId="558FF3B4" w14:textId="77777777">
      <w:pPr>
        <w:pStyle w:val="Recitals"/>
        <w:numPr>
          <w:ilvl w:val="1"/>
          <w:numId w:val="18"/>
        </w:numPr>
        <w:tabs>
          <w:tab w:val="clear" w:pos="2520"/>
          <w:tab w:val="num" w:pos="1701"/>
        </w:tabs>
        <w:ind w:left="1701" w:hanging="365"/>
        <w:rPr>
          <w:szCs w:val="20"/>
        </w:rPr>
      </w:pPr>
      <w:r w:rsidRPr="00B72C03">
        <w:t>Un</w:t>
      </w:r>
      <w:r w:rsidRPr="00B72C03">
        <w:rPr>
          <w:szCs w:val="20"/>
        </w:rPr>
        <w:t>zumutbarkeit des Fortführens der Versorgung des Endkunden über den in der Vorabstimmungsantwort bestätigten Termin hinaus, insbesondere wegen Ausübens eines außerordentlichen Kündigungsrechts durch EKP</w:t>
      </w:r>
      <w:r w:rsidRPr="00B72C03">
        <w:rPr>
          <w:szCs w:val="20"/>
          <w:vertAlign w:val="subscript"/>
        </w:rPr>
        <w:t>abg</w:t>
      </w:r>
      <w:r w:rsidRPr="00B72C03">
        <w:rPr>
          <w:szCs w:val="20"/>
        </w:rPr>
        <w:t>, oder</w:t>
      </w:r>
    </w:p>
    <w:p w:rsidRPr="00B72C03" w:rsidR="00EE439B" w:rsidP="00824821" w:rsidRDefault="00EE439B" w14:paraId="0E851117" w14:textId="1EB45177">
      <w:pPr>
        <w:pStyle w:val="Recitals"/>
        <w:numPr>
          <w:ilvl w:val="1"/>
          <w:numId w:val="18"/>
        </w:numPr>
        <w:tabs>
          <w:tab w:val="clear" w:pos="2520"/>
          <w:tab w:val="num" w:pos="1701"/>
        </w:tabs>
        <w:ind w:left="1701" w:hanging="365"/>
        <w:rPr>
          <w:szCs w:val="20"/>
        </w:rPr>
      </w:pPr>
      <w:r w:rsidRPr="00B72C03">
        <w:rPr>
          <w:szCs w:val="20"/>
        </w:rPr>
        <w:t xml:space="preserve">Unterschreitung einer gemäß Ziffer </w:t>
      </w:r>
      <w:r w:rsidRPr="00B72C03" w:rsidR="003D6D46">
        <w:rPr>
          <w:szCs w:val="20"/>
        </w:rPr>
        <w:t>2.11</w:t>
      </w:r>
      <w:r w:rsidRPr="00B72C03">
        <w:rPr>
          <w:szCs w:val="20"/>
        </w:rPr>
        <w:t xml:space="preserve"> der Anlage 3 zu beachtenden Vorlauffrist zum ursprünglich abgestimmten Wechseltermin oder</w:t>
      </w:r>
    </w:p>
    <w:p w:rsidRPr="00B72C03" w:rsidR="00EE439B" w:rsidP="00824821" w:rsidRDefault="00EE439B" w14:paraId="21ED6AE3" w14:textId="77777777">
      <w:pPr>
        <w:pStyle w:val="Recitals"/>
        <w:numPr>
          <w:ilvl w:val="1"/>
          <w:numId w:val="18"/>
        </w:numPr>
        <w:tabs>
          <w:tab w:val="clear" w:pos="2520"/>
          <w:tab w:val="num" w:pos="1701"/>
        </w:tabs>
        <w:ind w:left="1701" w:hanging="365"/>
        <w:rPr>
          <w:szCs w:val="20"/>
        </w:rPr>
      </w:pPr>
      <w:r w:rsidRPr="00B72C03">
        <w:rPr>
          <w:szCs w:val="20"/>
        </w:rPr>
        <w:t xml:space="preserve">fehlerhafte Angaben in der Terminverschiebungsanfrage. </w:t>
      </w:r>
    </w:p>
    <w:p w:rsidRPr="00B72C03" w:rsidR="00EE439B" w:rsidP="00EE439B" w:rsidRDefault="00EE439B" w14:paraId="2C2A3D8A" w14:textId="77777777">
      <w:pPr>
        <w:pStyle w:val="Recitals"/>
        <w:tabs>
          <w:tab w:val="clear" w:pos="680"/>
        </w:tabs>
        <w:ind w:left="1336" w:firstLine="0"/>
        <w:rPr>
          <w:szCs w:val="20"/>
        </w:rPr>
      </w:pPr>
    </w:p>
    <w:p w:rsidRPr="00B72C03" w:rsidR="00EE439B" w:rsidP="00B402B3" w:rsidRDefault="00EE439B" w14:paraId="6B879E03" w14:textId="77777777">
      <w:pPr>
        <w:pStyle w:val="Level1"/>
        <w:numPr>
          <w:ilvl w:val="0"/>
          <w:numId w:val="16"/>
        </w:numPr>
      </w:pPr>
      <w:bookmarkStart w:name="_Ref340814715" w:id="24"/>
      <w:bookmarkStart w:name="_Toc25915302" w:id="25"/>
      <w:r w:rsidRPr="00B72C03">
        <w:t>Eskalation</w:t>
      </w:r>
      <w:bookmarkEnd w:id="24"/>
      <w:bookmarkEnd w:id="25"/>
    </w:p>
    <w:p w:rsidRPr="00B72C03" w:rsidR="00EE439B" w:rsidP="00B402B3" w:rsidRDefault="00EE439B" w14:paraId="4CC5D2D9" w14:textId="77777777">
      <w:pPr>
        <w:pStyle w:val="Body1"/>
      </w:pPr>
      <w:r w:rsidRPr="00B72C03">
        <w:t>Die Vertragsparteien können gemäß Anlage 3 eskalieren, insbesondere, wenn nach dieser Vereinbarung vereinbarte Fristen nicht eingehalten werden oder Meldungen nicht oder nicht ordnungsgemäß erfolgen.</w:t>
      </w:r>
      <w:r w:rsidRPr="00B72C03" w:rsidR="00824821">
        <w:t xml:space="preserve"> </w:t>
      </w:r>
      <w:r w:rsidRPr="00B72C03">
        <w:t>Dies schließt andere Eskalationsmöglichkeiten nicht aus.</w:t>
      </w:r>
    </w:p>
    <w:p w:rsidRPr="00B72C03" w:rsidR="00EE439B" w:rsidP="00650AC3" w:rsidRDefault="00EE439B" w14:paraId="5C36AF1D" w14:textId="77777777">
      <w:pPr>
        <w:pStyle w:val="Level1"/>
        <w:numPr>
          <w:ilvl w:val="0"/>
          <w:numId w:val="16"/>
        </w:numPr>
      </w:pPr>
      <w:bookmarkStart w:name="_Ref345332390" w:id="26"/>
      <w:bookmarkStart w:name="_Toc25915303" w:id="27"/>
      <w:r w:rsidRPr="00B72C03">
        <w:t>Vertraulichkeit</w:t>
      </w:r>
      <w:bookmarkEnd w:id="26"/>
      <w:bookmarkEnd w:id="27"/>
    </w:p>
    <w:p w:rsidRPr="00B72C03" w:rsidR="00EE439B" w:rsidP="00650AC3" w:rsidRDefault="00EE439B" w14:paraId="38E8D509" w14:textId="77777777">
      <w:pPr>
        <w:pStyle w:val="Level2"/>
        <w:numPr>
          <w:ilvl w:val="1"/>
          <w:numId w:val="16"/>
        </w:numPr>
      </w:pPr>
      <w:r w:rsidRPr="00B72C03">
        <w:t>Die zwischen den Vertragsparteien auf Basis dieser Vereinbarung ausgetauschten Unterlagen, Daten, Kenntnisse und Erfahrungen („</w:t>
      </w:r>
      <w:r w:rsidRPr="00B72C03">
        <w:rPr>
          <w:b/>
        </w:rPr>
        <w:t>geheime Informationen</w:t>
      </w:r>
      <w:r w:rsidRPr="00B72C03">
        <w:t>“) dürfen ausschließlich für die Zwecke dieser Vereinbarung verwendet werden.</w:t>
      </w:r>
    </w:p>
    <w:p w:rsidRPr="00B72C03" w:rsidR="00EE439B" w:rsidP="00650AC3" w:rsidRDefault="00EE439B" w14:paraId="57418A84" w14:textId="77777777">
      <w:pPr>
        <w:pStyle w:val="Level2"/>
        <w:numPr>
          <w:ilvl w:val="1"/>
          <w:numId w:val="16"/>
        </w:numPr>
      </w:pPr>
      <w:r w:rsidRPr="00B72C03">
        <w:t>Die Vertragsparteien verpflichten sich, geheime Informationen Dritten gegenüber geheim zu halten. Dies gilt nicht für solche geheimen Informationen,</w:t>
      </w:r>
    </w:p>
    <w:p w:rsidRPr="00B72C03" w:rsidR="00EE439B" w:rsidP="00650AC3" w:rsidRDefault="00EE439B" w14:paraId="086BD867" w14:textId="63E2171E">
      <w:pPr>
        <w:pStyle w:val="Level3"/>
        <w:numPr>
          <w:ilvl w:val="2"/>
          <w:numId w:val="16"/>
        </w:numPr>
        <w:rPr>
          <w:sz w:val="20"/>
          <w:szCs w:val="20"/>
        </w:rPr>
      </w:pPr>
      <w:r w:rsidRPr="00B72C03">
        <w:rPr>
          <w:sz w:val="20"/>
          <w:szCs w:val="20"/>
        </w:rPr>
        <w:t xml:space="preserve">die sich bereits vor Abschluss dieser Vereinbarung in schriftlicher oder </w:t>
      </w:r>
      <w:r w:rsidRPr="00B72C03" w:rsidR="00DB333D">
        <w:rPr>
          <w:sz w:val="20"/>
          <w:szCs w:val="20"/>
        </w:rPr>
        <w:t>elektroni</w:t>
      </w:r>
      <w:r w:rsidRPr="00B72C03" w:rsidR="00DB333D">
        <w:rPr>
          <w:sz w:val="20"/>
          <w:szCs w:val="20"/>
          <w:lang w:val="de-DE"/>
        </w:rPr>
        <w:t>sch</w:t>
      </w:r>
      <w:r w:rsidR="00DB333D">
        <w:rPr>
          <w:sz w:val="20"/>
          <w:szCs w:val="20"/>
          <w:lang w:val="de-DE"/>
        </w:rPr>
        <w:t>er</w:t>
      </w:r>
      <w:r w:rsidRPr="00B72C03">
        <w:rPr>
          <w:sz w:val="20"/>
          <w:szCs w:val="20"/>
        </w:rPr>
        <w:t xml:space="preserve"> Form in Besitz der anderen Vertragspartei befunden haben und nicht aufgrund anderer vertraglicher Regelungen zur Vertraulichkeit geheim zu halten sind oder</w:t>
      </w:r>
    </w:p>
    <w:p w:rsidRPr="00B72C03" w:rsidR="00EE439B" w:rsidP="00650AC3" w:rsidRDefault="00EE439B" w14:paraId="2C5990DB" w14:textId="77777777">
      <w:pPr>
        <w:pStyle w:val="Level3"/>
        <w:numPr>
          <w:ilvl w:val="2"/>
          <w:numId w:val="16"/>
        </w:numPr>
        <w:rPr>
          <w:sz w:val="20"/>
          <w:szCs w:val="20"/>
        </w:rPr>
      </w:pPr>
      <w:r w:rsidRPr="00B72C03">
        <w:rPr>
          <w:sz w:val="20"/>
          <w:szCs w:val="20"/>
        </w:rPr>
        <w:t>die der Allgemeinheit ohne rechtswidriges Zutun oder Unterlassen der anderen Vertragspartei zugänglich geworden sind oder zugänglich werden.</w:t>
      </w:r>
    </w:p>
    <w:p w:rsidRPr="00B72C03" w:rsidR="00EE439B" w:rsidP="00650AC3" w:rsidRDefault="00EE439B" w14:paraId="0316E632" w14:textId="77777777">
      <w:pPr>
        <w:pStyle w:val="Level3"/>
        <w:numPr>
          <w:ilvl w:val="2"/>
          <w:numId w:val="16"/>
        </w:numPr>
        <w:rPr>
          <w:sz w:val="20"/>
          <w:szCs w:val="20"/>
        </w:rPr>
      </w:pPr>
      <w:r w:rsidRPr="00B72C03">
        <w:rPr>
          <w:sz w:val="20"/>
          <w:szCs w:val="20"/>
        </w:rPr>
        <w:lastRenderedPageBreak/>
        <w:t>Sofern und soweit eine Vertragspartei auf Grund gesetzlicher Vorschriften gegenüber Behörden oder sonstigen Dritten zur Mitteilung von geheimen Informationen verpflichtet ist, stellt die Erfüllung dieser Pflicht keine Verletzung dieser Regelungen zur Vertraulichkeit dar.</w:t>
      </w:r>
    </w:p>
    <w:p w:rsidRPr="00B72C03" w:rsidR="00EE439B" w:rsidP="00650AC3" w:rsidRDefault="00EE439B" w14:paraId="2089CE54" w14:textId="58F9CC78">
      <w:pPr>
        <w:pStyle w:val="Level2"/>
        <w:numPr>
          <w:ilvl w:val="1"/>
          <w:numId w:val="16"/>
        </w:numPr>
      </w:pPr>
      <w:r w:rsidRPr="00B72C03">
        <w:t xml:space="preserve">Sofern es im Rahmen der Zusammenarbeit zwischen den Vertragsparteien erforderlich wird, Dritte (z. B. Lieferanten, Konsultanten) einzuschalten und geheime Informationen an diese weiterzugeben, sind mit dem Dritten entsprechende schriftliche Vereinbarungen zu treffen, um die Einhaltung der Bestimmung dieser Ziffer </w:t>
      </w:r>
      <w:r w:rsidRPr="00B72C03">
        <w:fldChar w:fldCharType="begin"/>
      </w:r>
      <w:r w:rsidRPr="00B72C03">
        <w:instrText xml:space="preserve"> REF _Ref345332390 \r \h </w:instrText>
      </w:r>
      <w:r w:rsidRPr="00B72C03" w:rsidR="0048355A">
        <w:instrText xml:space="preserve"> \* MERGEFORMAT </w:instrText>
      </w:r>
      <w:r w:rsidRPr="00B72C03">
        <w:fldChar w:fldCharType="separate"/>
      </w:r>
      <w:r w:rsidRPr="00B72C03" w:rsidR="00391649">
        <w:t>6</w:t>
      </w:r>
      <w:r w:rsidRPr="00B72C03">
        <w:fldChar w:fldCharType="end"/>
      </w:r>
      <w:r w:rsidRPr="00B72C03">
        <w:t xml:space="preserve"> sicherzustellen.</w:t>
      </w:r>
    </w:p>
    <w:p w:rsidRPr="00B72C03" w:rsidR="00EE439B" w:rsidP="00650AC3" w:rsidRDefault="00EE439B" w14:paraId="61BD2EE7" w14:textId="77777777">
      <w:pPr>
        <w:pStyle w:val="Level2"/>
        <w:numPr>
          <w:ilvl w:val="1"/>
          <w:numId w:val="16"/>
        </w:numPr>
      </w:pPr>
      <w:r w:rsidRPr="00B72C03">
        <w:t>Dritte im Sinne der beiden vorstehenden Absätze sind nicht mit den Vertragsparteien nach §§ 15 ff. AktG verbundene Unternehmen.</w:t>
      </w:r>
    </w:p>
    <w:p w:rsidRPr="00B72C03" w:rsidR="00EE439B" w:rsidP="00650AC3" w:rsidRDefault="00EE439B" w14:paraId="31BD4237" w14:textId="77777777">
      <w:pPr>
        <w:pStyle w:val="Level2"/>
        <w:numPr>
          <w:ilvl w:val="1"/>
          <w:numId w:val="16"/>
        </w:numPr>
      </w:pPr>
      <w:r w:rsidRPr="00B72C03">
        <w:t>Die Geheimhaltungsverpflichtungen erstrecken sich auch auf den Zeitraum von zwei Jahren nach Beendigung dieser Vereinbarung.</w:t>
      </w:r>
    </w:p>
    <w:p w:rsidRPr="00B72C03" w:rsidR="00EE439B" w:rsidP="00650AC3" w:rsidRDefault="00EE439B" w14:paraId="44A1F9D8" w14:textId="77777777">
      <w:pPr>
        <w:pStyle w:val="Level1"/>
        <w:numPr>
          <w:ilvl w:val="0"/>
          <w:numId w:val="16"/>
        </w:numPr>
      </w:pPr>
      <w:bookmarkStart w:name="_Toc25915304" w:id="28"/>
      <w:r w:rsidRPr="00B72C03">
        <w:t>Laufzeit und Kündigung</w:t>
      </w:r>
      <w:bookmarkEnd w:id="28"/>
    </w:p>
    <w:p w:rsidRPr="00B72C03" w:rsidR="00EE439B" w:rsidP="00650AC3" w:rsidRDefault="00EE439B" w14:paraId="14FAA059" w14:textId="77777777">
      <w:pPr>
        <w:pStyle w:val="Level2"/>
        <w:numPr>
          <w:ilvl w:val="1"/>
          <w:numId w:val="16"/>
        </w:numPr>
      </w:pPr>
      <w:r w:rsidRPr="00B72C03">
        <w:t>Diese Vereinbarung wird mit Unterschrift durch beide Vertragsparteien wirksam.</w:t>
      </w:r>
    </w:p>
    <w:p w:rsidRPr="00B72C03" w:rsidR="00EE439B" w:rsidP="00650AC3" w:rsidRDefault="00EE439B" w14:paraId="6DE637BE" w14:textId="77777777">
      <w:pPr>
        <w:pStyle w:val="Level2"/>
        <w:numPr>
          <w:ilvl w:val="1"/>
          <w:numId w:val="16"/>
        </w:numPr>
      </w:pPr>
      <w:r w:rsidRPr="00B72C03">
        <w:t>Jede Vertragspartei kann diese Vereinbarung mit einer Frist von sechs Monaten zum Monatsende kündigen.</w:t>
      </w:r>
    </w:p>
    <w:p w:rsidRPr="00B72C03" w:rsidR="00EE439B" w:rsidP="00FC5086" w:rsidRDefault="00EE439B" w14:paraId="33F563D1" w14:textId="77777777">
      <w:pPr>
        <w:pStyle w:val="Level2"/>
        <w:numPr>
          <w:ilvl w:val="1"/>
          <w:numId w:val="16"/>
        </w:numPr>
      </w:pPr>
      <w:r w:rsidRPr="00B72C03">
        <w:t>Das Recht zur außerordentlichen Kündigung aus wichtigem Grund bleibt unberührt.</w:t>
      </w:r>
    </w:p>
    <w:p w:rsidRPr="00B72C03" w:rsidR="00EE439B" w:rsidP="00960499" w:rsidRDefault="00EE439B" w14:paraId="68032310" w14:textId="77777777">
      <w:pPr>
        <w:pStyle w:val="Level2"/>
        <w:numPr>
          <w:ilvl w:val="1"/>
          <w:numId w:val="16"/>
        </w:numPr>
      </w:pPr>
      <w:r w:rsidRPr="00B72C03">
        <w:t>Jede Kündigung bedarf zu ihrer Wirksamkeit der Schriftform gemäß § 126 BGB (eigenhändig unterschrieben).</w:t>
      </w:r>
    </w:p>
    <w:p w:rsidRPr="00B72C03" w:rsidR="00EE439B" w:rsidP="00650AC3" w:rsidRDefault="00EE439B" w14:paraId="5B650A5B" w14:textId="77777777">
      <w:pPr>
        <w:pStyle w:val="Level1"/>
        <w:numPr>
          <w:ilvl w:val="0"/>
          <w:numId w:val="16"/>
        </w:numPr>
      </w:pPr>
      <w:bookmarkStart w:name="_Toc25915305" w:id="29"/>
      <w:r w:rsidRPr="00B72C03">
        <w:t>Schlussbestimmungen</w:t>
      </w:r>
      <w:bookmarkEnd w:id="29"/>
    </w:p>
    <w:p w:rsidRPr="00B72C03" w:rsidR="00EE439B" w:rsidP="00650AC3" w:rsidRDefault="00EE439B" w14:paraId="4E4B3454" w14:textId="77777777">
      <w:pPr>
        <w:pStyle w:val="Level2"/>
        <w:numPr>
          <w:ilvl w:val="1"/>
          <w:numId w:val="16"/>
        </w:numPr>
      </w:pPr>
      <w:r w:rsidRPr="00B72C03">
        <w:t>Sollte eine Bestimmung dieser Vereinbarung unwirksam sein oder werden oder undurchsetzbar werden, wird die Wirksamkeit der übrigen Bestimmungen dadurch nicht berührt. Die Vertragsparteien werden die unwirksame oder undurchsetzbare Bestimmung durch eine solche wirksame und durchsetzbare ersetzen, die dem wirtschaftlichen Zweck der unwirksamen oder undurchsetzbaren Bestimmung am nächsten kommt. Das Gleiche gilt, wenn sich nach Vertragsschluss eine Regelungslücke ergibt.</w:t>
      </w:r>
    </w:p>
    <w:p w:rsidRPr="00B72C03" w:rsidR="00EE439B" w:rsidP="00650AC3" w:rsidRDefault="00EE439B" w14:paraId="36234A3E" w14:textId="77777777">
      <w:pPr>
        <w:pStyle w:val="Level2"/>
        <w:numPr>
          <w:ilvl w:val="1"/>
          <w:numId w:val="16"/>
        </w:numPr>
      </w:pPr>
      <w:r w:rsidRPr="00B72C03">
        <w:t>Änderungen dieser Vereinbarung bedürfen der Schriftform gemäß § 126 BGB (eigenhändig unterschrieben), sofern gesetzlich nicht eine strengere Form vorgeschrieben ist. Dies gilt auch für eine Änderung dieses Schriftformerfordernisses selbst.</w:t>
      </w:r>
    </w:p>
    <w:p w:rsidRPr="00B72C03" w:rsidR="00EE439B" w:rsidP="00650AC3" w:rsidRDefault="00EE439B" w14:paraId="02E3EA32" w14:textId="77777777">
      <w:pPr>
        <w:pStyle w:val="Level2"/>
        <w:numPr>
          <w:ilvl w:val="1"/>
          <w:numId w:val="16"/>
        </w:numPr>
      </w:pPr>
      <w:r w:rsidRPr="00B72C03">
        <w:t>Mündliche Nebenabreden bestehen nicht.</w:t>
      </w:r>
    </w:p>
    <w:p w:rsidRPr="00B72C03" w:rsidR="00D602A1" w:rsidP="00275A0F" w:rsidRDefault="00D602A1" w14:paraId="7C9C2015" w14:textId="77777777">
      <w:pPr>
        <w:pStyle w:val="Level2"/>
        <w:numPr>
          <w:ilvl w:val="1"/>
          <w:numId w:val="16"/>
        </w:numPr>
      </w:pPr>
      <w:r w:rsidRPr="00B72C03">
        <w:t>Tr</w:t>
      </w:r>
      <w:r w:rsidRPr="00B72C03" w:rsidR="00275A0F">
        <w:t>itt eine</w:t>
      </w:r>
      <w:r w:rsidRPr="00B72C03">
        <w:t xml:space="preserve"> d</w:t>
      </w:r>
      <w:r w:rsidRPr="00B72C03" w:rsidR="00275A0F">
        <w:t>er</w:t>
      </w:r>
      <w:r w:rsidRPr="00B72C03">
        <w:t xml:space="preserve"> Vertragsparteien </w:t>
      </w:r>
      <w:r w:rsidRPr="00B72C03" w:rsidR="00275A0F">
        <w:t>in der Funktion</w:t>
      </w:r>
      <w:r w:rsidRPr="00B72C03">
        <w:t xml:space="preserve"> als Dienstleister auf und nicht als eigenständige</w:t>
      </w:r>
      <w:r w:rsidRPr="00B72C03" w:rsidR="0074240C">
        <w:t>r</w:t>
      </w:r>
      <w:r w:rsidRPr="00B72C03">
        <w:t xml:space="preserve"> EKP, ist </w:t>
      </w:r>
      <w:r w:rsidRPr="00B72C03" w:rsidR="00F42BA2">
        <w:t xml:space="preserve">zusätzlich </w:t>
      </w:r>
      <w:r w:rsidRPr="00B72C03">
        <w:t xml:space="preserve">die </w:t>
      </w:r>
      <w:bookmarkStart w:name="_Hlk3980427" w:id="30"/>
      <w:r w:rsidRPr="00B72C03">
        <w:t>Vereinbarung über die erweiterte Nutzung der elektronischen Vorabstimmungsschnittstelle (WBCI) für EKP ohne eigenes Zertifikat erforderlich</w:t>
      </w:r>
      <w:r w:rsidRPr="00B72C03" w:rsidR="0074240C">
        <w:t>.</w:t>
      </w:r>
    </w:p>
    <w:p w:rsidRPr="00B72C03" w:rsidR="005C0BF8" w:rsidP="00650AC3" w:rsidRDefault="00E26C79" w14:paraId="4C2B4E2E" w14:textId="77777777">
      <w:pPr>
        <w:pStyle w:val="Level2"/>
        <w:numPr>
          <w:ilvl w:val="1"/>
          <w:numId w:val="16"/>
        </w:numPr>
      </w:pPr>
      <w:bookmarkStart w:name="_Ref194761326" w:id="31"/>
      <w:bookmarkEnd w:id="30"/>
      <w:r w:rsidRPr="00B72C03">
        <w:t>Die Übertragung von Rechten und Pflichten aus dieser Vereinbarung ist nur mit vorheriger schriftlicher Zustimmung der anderen Vertragspartei zulässig</w:t>
      </w:r>
      <w:r w:rsidRPr="00B72C03" w:rsidR="009F62AC">
        <w:t>. Die Zustimmung darf nicht unbillig verweigert werden; insbesondere im Falle der Übertragung einer Vertragspartei auf ein mit ihr nach § 15 ff. AktG verbundenes Unternehmen.</w:t>
      </w:r>
    </w:p>
    <w:bookmarkEnd w:id="31"/>
    <w:p w:rsidRPr="00B72C03" w:rsidR="00EE439B" w:rsidP="00650AC3" w:rsidRDefault="00EE439B" w14:paraId="3463112E" w14:textId="77777777">
      <w:pPr>
        <w:pStyle w:val="Level2"/>
        <w:numPr>
          <w:ilvl w:val="1"/>
          <w:numId w:val="16"/>
        </w:numPr>
      </w:pPr>
      <w:r w:rsidRPr="00B72C03">
        <w:t>Für die vertragliche Beziehung der Vertragsparteien gilt deutsches Recht. Als Gerichtsstand wird Frankfurt am Main vereinbart.</w:t>
      </w:r>
    </w:p>
    <w:p w:rsidRPr="00B72C03" w:rsidR="00EE439B" w:rsidP="00B1570B" w:rsidRDefault="00EE439B" w14:paraId="5796DCB7" w14:textId="77777777">
      <w:pPr>
        <w:pStyle w:val="Level2"/>
        <w:numPr>
          <w:ilvl w:val="1"/>
          <w:numId w:val="16"/>
        </w:numPr>
      </w:pPr>
      <w:r w:rsidRPr="00B72C03">
        <w:t>Jede Vertragspartei erhält eine Originalausfertigung dieser Vereinbarung.</w:t>
      </w:r>
    </w:p>
    <w:p w:rsidRPr="00B72C03" w:rsidR="00EE439B" w:rsidP="00BC1964" w:rsidRDefault="00EE439B" w14:paraId="519E2B80" w14:textId="77777777">
      <w:pPr>
        <w:pStyle w:val="Level1"/>
        <w:numPr>
          <w:ilvl w:val="0"/>
          <w:numId w:val="16"/>
        </w:numPr>
      </w:pPr>
      <w:bookmarkStart w:name="_Toc25915306" w:id="32"/>
      <w:r w:rsidRPr="00B72C03">
        <w:lastRenderedPageBreak/>
        <w:t>Anlagen</w:t>
      </w:r>
      <w:bookmarkEnd w:id="32"/>
    </w:p>
    <w:p w:rsidRPr="00B72C03" w:rsidR="00EE439B" w:rsidP="00FB622A" w:rsidRDefault="00EE439B" w14:paraId="3BF7B13B" w14:textId="77777777">
      <w:pPr>
        <w:pStyle w:val="Level2"/>
        <w:numPr>
          <w:ilvl w:val="1"/>
          <w:numId w:val="16"/>
        </w:numPr>
      </w:pPr>
      <w:r w:rsidRPr="00B72C03">
        <w:t>Die nachfolgend genannten Anlagen sind Bestandteil dieser Vereinbarung</w:t>
      </w:r>
      <w:r w:rsidRPr="00B72C03" w:rsidR="00391649">
        <w:t xml:space="preserve">, </w:t>
      </w:r>
      <w:r w:rsidRPr="00B72C03">
        <w:t>Im Fall von Widersprüchen zwischen Regelungen dieser Vereinbarung und den Anlagen finden die Regelungen dieser Vereinbarung vorrangige Anwendung. Im Fall von Widersprüchen zwischen Regelungen einer Anlage mit Regelungen einer anderen Anlage, finden die Regelungen der nachfolgend zuerst genannten Anlage vor den Regelungen der danach genannten Anlage vorrangige Anwendung.</w:t>
      </w:r>
    </w:p>
    <w:p w:rsidRPr="00B72C03" w:rsidR="00EE439B" w:rsidP="00E3317B" w:rsidRDefault="00EE439B" w14:paraId="2856F535" w14:textId="77777777">
      <w:pPr>
        <w:pStyle w:val="Recitals"/>
        <w:numPr>
          <w:ilvl w:val="0"/>
          <w:numId w:val="34"/>
        </w:numPr>
      </w:pPr>
      <w:r w:rsidRPr="00B72C03">
        <w:t>Anlage 1:</w:t>
      </w:r>
      <w:r w:rsidRPr="00B72C03" w:rsidR="00C905A1">
        <w:t xml:space="preserve"> entfällt</w:t>
      </w:r>
    </w:p>
    <w:p w:rsidRPr="00B72C03" w:rsidR="00EE439B" w:rsidP="00E3317B" w:rsidRDefault="00EE439B" w14:paraId="2B09C4C0" w14:textId="233A2D63">
      <w:pPr>
        <w:pStyle w:val="Recitals"/>
        <w:numPr>
          <w:ilvl w:val="0"/>
          <w:numId w:val="34"/>
        </w:numPr>
      </w:pPr>
      <w:r w:rsidRPr="00B72C03">
        <w:t xml:space="preserve">Anlage 2: Spezifikation Anbieterwechsel, Teil 0, Allgemeiner Teil, Version </w:t>
      </w:r>
      <w:r w:rsidR="008854B9">
        <w:t>[aktuelle Version]</w:t>
      </w:r>
    </w:p>
    <w:p w:rsidRPr="00B72C03" w:rsidR="00EE439B" w:rsidP="00E3317B" w:rsidRDefault="00EE439B" w14:paraId="30CDD311" w14:textId="008F3346">
      <w:pPr>
        <w:pStyle w:val="Recitals"/>
        <w:numPr>
          <w:ilvl w:val="0"/>
          <w:numId w:val="34"/>
        </w:numPr>
      </w:pPr>
      <w:r w:rsidRPr="00B72C03">
        <w:t xml:space="preserve">Anlage 3: Spezifikation Anbieterwechsel, Teil 1, Abläufe bei der Vorabstimmung, </w:t>
      </w:r>
      <w:r w:rsidR="008854B9">
        <w:t>[aktuelle Version]</w:t>
      </w:r>
    </w:p>
    <w:p w:rsidRPr="00B72C03" w:rsidR="00EE439B" w:rsidP="00E3317B" w:rsidRDefault="00EE439B" w14:paraId="6326FA6E" w14:textId="6BAD69CB">
      <w:pPr>
        <w:pStyle w:val="Recitals"/>
        <w:numPr>
          <w:ilvl w:val="0"/>
          <w:numId w:val="34"/>
        </w:numPr>
      </w:pPr>
      <w:r w:rsidRPr="00B72C03">
        <w:t xml:space="preserve">Anlage 4: </w:t>
      </w:r>
      <w:r w:rsidRPr="00B72C03">
        <w:rPr>
          <w:color w:val="000000"/>
          <w:szCs w:val="22"/>
        </w:rPr>
        <w:t>Regelung zur Sicherstellung des § </w:t>
      </w:r>
      <w:r w:rsidR="00DB333D">
        <w:rPr>
          <w:color w:val="000000"/>
          <w:szCs w:val="22"/>
        </w:rPr>
        <w:t>59</w:t>
      </w:r>
      <w:r w:rsidRPr="00B72C03" w:rsidR="00DB333D">
        <w:rPr>
          <w:color w:val="000000"/>
          <w:szCs w:val="22"/>
        </w:rPr>
        <w:t xml:space="preserve"> </w:t>
      </w:r>
      <w:r w:rsidRPr="00B72C03">
        <w:rPr>
          <w:color w:val="000000"/>
          <w:szCs w:val="22"/>
        </w:rPr>
        <w:t>TKG im Festnetzbereich</w:t>
      </w:r>
      <w:r w:rsidRPr="00B72C03" w:rsidR="00C905A1">
        <w:rPr>
          <w:color w:val="000000"/>
          <w:szCs w:val="22"/>
        </w:rPr>
        <w:t xml:space="preserve">, Version </w:t>
      </w:r>
      <w:r w:rsidR="0022705A">
        <w:t>[aktuelle Version]</w:t>
      </w:r>
    </w:p>
    <w:p w:rsidRPr="00B72C03" w:rsidR="00EE439B" w:rsidP="00B1570B" w:rsidRDefault="00EE439B" w14:paraId="69624432" w14:textId="77777777">
      <w:pPr>
        <w:pStyle w:val="Body"/>
      </w:pPr>
    </w:p>
    <w:p w:rsidRPr="00B72C03" w:rsidR="00EE439B" w:rsidP="00B1570B" w:rsidRDefault="00EE439B" w14:paraId="79DF2420" w14:textId="77777777">
      <w:pPr>
        <w:pStyle w:val="Body"/>
      </w:pPr>
    </w:p>
    <w:p w:rsidRPr="00B72C03" w:rsidR="00EE439B" w:rsidP="000655A4" w:rsidRDefault="00EE439B" w14:paraId="0079EA65" w14:textId="0336D25F">
      <w:pPr>
        <w:pStyle w:val="Body"/>
        <w:rPr>
          <w:sz w:val="22"/>
          <w:szCs w:val="22"/>
        </w:rPr>
      </w:pPr>
      <w:r w:rsidRPr="00B72C03">
        <w:rPr>
          <w:sz w:val="22"/>
          <w:szCs w:val="22"/>
        </w:rPr>
        <w:t>Ort, Datum</w:t>
      </w:r>
      <w:r w:rsidRPr="00B72C03">
        <w:rPr>
          <w:sz w:val="22"/>
          <w:szCs w:val="22"/>
        </w:rPr>
        <w:tab/>
      </w:r>
      <w:r w:rsidRPr="00B72C03">
        <w:rPr>
          <w:sz w:val="22"/>
          <w:szCs w:val="22"/>
        </w:rPr>
        <w:tab/>
      </w:r>
      <w:r w:rsidRPr="00B72C03">
        <w:rPr>
          <w:sz w:val="22"/>
          <w:szCs w:val="22"/>
        </w:rPr>
        <w:tab/>
      </w:r>
      <w:r w:rsidRPr="00B72C03">
        <w:rPr>
          <w:sz w:val="22"/>
          <w:szCs w:val="22"/>
        </w:rPr>
        <w:tab/>
      </w:r>
      <w:r w:rsidRPr="00B72C03">
        <w:rPr>
          <w:sz w:val="22"/>
          <w:szCs w:val="22"/>
        </w:rPr>
        <w:tab/>
      </w:r>
      <w:r w:rsidRPr="00B72C03">
        <w:rPr>
          <w:sz w:val="22"/>
          <w:szCs w:val="22"/>
        </w:rPr>
        <w:t>Ort, Datum</w:t>
      </w:r>
    </w:p>
    <w:p w:rsidRPr="00B72C03" w:rsidR="00EE439B" w:rsidP="000655A4" w:rsidRDefault="00EE439B" w14:paraId="6021E773" w14:textId="77777777">
      <w:pPr>
        <w:pStyle w:val="Body"/>
      </w:pPr>
    </w:p>
    <w:tbl>
      <w:tblPr>
        <w:tblW w:w="8605" w:type="dxa"/>
        <w:tblLook w:val="01E0" w:firstRow="1" w:lastRow="1" w:firstColumn="1" w:lastColumn="1" w:noHBand="0" w:noVBand="0"/>
      </w:tblPr>
      <w:tblGrid>
        <w:gridCol w:w="3833"/>
        <w:gridCol w:w="939"/>
        <w:gridCol w:w="3833"/>
      </w:tblGrid>
      <w:tr w:rsidRPr="00B72C03" w:rsidR="00EE439B" w:rsidTr="00A228F5" w14:paraId="0D0FFF5A" w14:textId="77777777">
        <w:tc>
          <w:tcPr>
            <w:tcW w:w="3833" w:type="dxa"/>
            <w:tcBorders>
              <w:bottom w:val="single" w:color="auto" w:sz="4" w:space="0"/>
            </w:tcBorders>
          </w:tcPr>
          <w:p w:rsidRPr="00B72C03" w:rsidR="00EE439B" w:rsidP="000655A4" w:rsidRDefault="00EE439B" w14:paraId="0FB920EA" w14:textId="77777777">
            <w:pPr>
              <w:pStyle w:val="Body"/>
              <w:rPr>
                <w:sz w:val="20"/>
              </w:rPr>
            </w:pPr>
          </w:p>
        </w:tc>
        <w:tc>
          <w:tcPr>
            <w:tcW w:w="939" w:type="dxa"/>
          </w:tcPr>
          <w:p w:rsidRPr="00B72C03" w:rsidR="00EE439B" w:rsidP="000655A4" w:rsidRDefault="00EE439B" w14:paraId="4C3072CB" w14:textId="77777777">
            <w:pPr>
              <w:pStyle w:val="Body"/>
              <w:rPr>
                <w:sz w:val="20"/>
              </w:rPr>
            </w:pPr>
          </w:p>
        </w:tc>
        <w:tc>
          <w:tcPr>
            <w:tcW w:w="3833" w:type="dxa"/>
            <w:tcBorders>
              <w:bottom w:val="single" w:color="auto" w:sz="4" w:space="0"/>
            </w:tcBorders>
          </w:tcPr>
          <w:p w:rsidRPr="00B72C03" w:rsidR="00EE439B" w:rsidP="000655A4" w:rsidRDefault="00EE439B" w14:paraId="79B0C204" w14:textId="77777777">
            <w:pPr>
              <w:pStyle w:val="Body"/>
              <w:rPr>
                <w:sz w:val="20"/>
              </w:rPr>
            </w:pPr>
          </w:p>
        </w:tc>
      </w:tr>
      <w:tr w:rsidRPr="00B72C03" w:rsidR="00EE439B" w:rsidTr="00A228F5" w14:paraId="239CB3E4" w14:textId="77777777">
        <w:tc>
          <w:tcPr>
            <w:tcW w:w="3833" w:type="dxa"/>
            <w:tcBorders>
              <w:top w:val="single" w:color="auto" w:sz="4" w:space="0"/>
            </w:tcBorders>
          </w:tcPr>
          <w:p w:rsidRPr="00B72C03" w:rsidR="00EE439B" w:rsidP="000655A4" w:rsidRDefault="00EE439B" w14:paraId="39C3E8C0" w14:textId="77777777">
            <w:pPr>
              <w:pStyle w:val="Body"/>
              <w:rPr>
                <w:sz w:val="20"/>
              </w:rPr>
            </w:pPr>
            <w:r w:rsidRPr="00B72C03">
              <w:rPr>
                <w:sz w:val="20"/>
              </w:rPr>
              <w:t>Anbieter 1</w:t>
            </w:r>
          </w:p>
          <w:p w:rsidRPr="00B72C03" w:rsidR="00EE439B" w:rsidP="000655A4" w:rsidRDefault="00EE439B" w14:paraId="2BC4EB69" w14:textId="77777777">
            <w:pPr>
              <w:pStyle w:val="Body"/>
              <w:rPr>
                <w:sz w:val="20"/>
              </w:rPr>
            </w:pPr>
          </w:p>
        </w:tc>
        <w:tc>
          <w:tcPr>
            <w:tcW w:w="939" w:type="dxa"/>
          </w:tcPr>
          <w:p w:rsidRPr="00B72C03" w:rsidR="00EE439B" w:rsidP="000655A4" w:rsidRDefault="00EE439B" w14:paraId="3C87F6EF" w14:textId="77777777">
            <w:pPr>
              <w:pStyle w:val="Body"/>
              <w:rPr>
                <w:sz w:val="20"/>
              </w:rPr>
            </w:pPr>
          </w:p>
        </w:tc>
        <w:tc>
          <w:tcPr>
            <w:tcW w:w="3833" w:type="dxa"/>
            <w:tcBorders>
              <w:top w:val="single" w:color="auto" w:sz="4" w:space="0"/>
            </w:tcBorders>
          </w:tcPr>
          <w:p w:rsidRPr="00B72C03" w:rsidR="00EE439B" w:rsidP="00E158A5" w:rsidRDefault="00EE439B" w14:paraId="4718F5DB" w14:textId="77777777">
            <w:pPr>
              <w:pStyle w:val="Body"/>
              <w:rPr>
                <w:sz w:val="20"/>
              </w:rPr>
            </w:pPr>
            <w:r w:rsidRPr="00B72C03">
              <w:rPr>
                <w:sz w:val="20"/>
              </w:rPr>
              <w:t>Anbieter 2</w:t>
            </w:r>
          </w:p>
        </w:tc>
      </w:tr>
    </w:tbl>
    <w:p w:rsidRPr="00B72C03" w:rsidR="00EE439B" w:rsidP="000655A4" w:rsidRDefault="00EE439B" w14:paraId="4DAE09CB" w14:textId="77777777">
      <w:pPr>
        <w:pStyle w:val="Body"/>
      </w:pPr>
    </w:p>
    <w:p w:rsidRPr="00B72C03" w:rsidR="00EE439B" w:rsidP="000655A4" w:rsidRDefault="00EE439B" w14:paraId="28BA9407" w14:textId="77777777">
      <w:pPr>
        <w:pStyle w:val="Body"/>
      </w:pPr>
    </w:p>
    <w:tbl>
      <w:tblPr>
        <w:tblW w:w="8605" w:type="dxa"/>
        <w:tblLook w:val="01E0" w:firstRow="1" w:lastRow="1" w:firstColumn="1" w:lastColumn="1" w:noHBand="0" w:noVBand="0"/>
      </w:tblPr>
      <w:tblGrid>
        <w:gridCol w:w="3833"/>
        <w:gridCol w:w="939"/>
        <w:gridCol w:w="3833"/>
      </w:tblGrid>
      <w:tr w:rsidRPr="00B72C03" w:rsidR="00EE439B" w:rsidTr="00A228F5" w14:paraId="5F4BCDA7" w14:textId="77777777">
        <w:tc>
          <w:tcPr>
            <w:tcW w:w="3833" w:type="dxa"/>
            <w:tcBorders>
              <w:bottom w:val="single" w:color="auto" w:sz="4" w:space="0"/>
            </w:tcBorders>
          </w:tcPr>
          <w:p w:rsidRPr="00B72C03" w:rsidR="00EE439B" w:rsidP="000655A4" w:rsidRDefault="00EE439B" w14:paraId="18CD9DDF" w14:textId="77777777">
            <w:pPr>
              <w:pStyle w:val="Body"/>
              <w:rPr>
                <w:sz w:val="20"/>
              </w:rPr>
            </w:pPr>
          </w:p>
        </w:tc>
        <w:tc>
          <w:tcPr>
            <w:tcW w:w="939" w:type="dxa"/>
          </w:tcPr>
          <w:p w:rsidRPr="00B72C03" w:rsidR="00EE439B" w:rsidP="000655A4" w:rsidRDefault="00EE439B" w14:paraId="232E38DF" w14:textId="77777777">
            <w:pPr>
              <w:pStyle w:val="Body"/>
              <w:rPr>
                <w:sz w:val="20"/>
              </w:rPr>
            </w:pPr>
          </w:p>
        </w:tc>
        <w:tc>
          <w:tcPr>
            <w:tcW w:w="3833" w:type="dxa"/>
            <w:tcBorders>
              <w:bottom w:val="single" w:color="auto" w:sz="4" w:space="0"/>
            </w:tcBorders>
          </w:tcPr>
          <w:p w:rsidRPr="00B72C03" w:rsidR="00EE439B" w:rsidP="000655A4" w:rsidRDefault="00EE439B" w14:paraId="3F489A14" w14:textId="77777777">
            <w:pPr>
              <w:pStyle w:val="Body"/>
              <w:rPr>
                <w:sz w:val="20"/>
              </w:rPr>
            </w:pPr>
          </w:p>
        </w:tc>
      </w:tr>
      <w:tr w:rsidRPr="001C5276" w:rsidR="00EE439B" w:rsidTr="00A228F5" w14:paraId="32E41DB6" w14:textId="77777777">
        <w:tc>
          <w:tcPr>
            <w:tcW w:w="3833" w:type="dxa"/>
            <w:tcBorders>
              <w:top w:val="single" w:color="auto" w:sz="4" w:space="0"/>
            </w:tcBorders>
          </w:tcPr>
          <w:p w:rsidRPr="00B72C03" w:rsidR="00EE439B" w:rsidP="000655A4" w:rsidRDefault="00EE439B" w14:paraId="7A1D5815" w14:textId="77777777">
            <w:pPr>
              <w:pStyle w:val="Body"/>
              <w:rPr>
                <w:sz w:val="20"/>
              </w:rPr>
            </w:pPr>
            <w:r w:rsidRPr="00B72C03">
              <w:rPr>
                <w:sz w:val="20"/>
              </w:rPr>
              <w:t>Anbieter 1</w:t>
            </w:r>
          </w:p>
          <w:p w:rsidRPr="00B72C03" w:rsidR="00EE439B" w:rsidP="000655A4" w:rsidRDefault="00EE439B" w14:paraId="52C9045B" w14:textId="77777777">
            <w:pPr>
              <w:pStyle w:val="Body"/>
              <w:rPr>
                <w:sz w:val="20"/>
              </w:rPr>
            </w:pPr>
          </w:p>
        </w:tc>
        <w:tc>
          <w:tcPr>
            <w:tcW w:w="939" w:type="dxa"/>
          </w:tcPr>
          <w:p w:rsidRPr="00B72C03" w:rsidR="00EE439B" w:rsidP="000655A4" w:rsidRDefault="00EE439B" w14:paraId="04B8F21A" w14:textId="77777777">
            <w:pPr>
              <w:pStyle w:val="Body"/>
              <w:rPr>
                <w:sz w:val="20"/>
              </w:rPr>
            </w:pPr>
          </w:p>
        </w:tc>
        <w:tc>
          <w:tcPr>
            <w:tcW w:w="3833" w:type="dxa"/>
            <w:tcBorders>
              <w:top w:val="single" w:color="auto" w:sz="4" w:space="0"/>
            </w:tcBorders>
          </w:tcPr>
          <w:p w:rsidRPr="003627F9" w:rsidR="00EE439B" w:rsidP="000655A4" w:rsidRDefault="00EE439B" w14:paraId="462C7728" w14:textId="77777777">
            <w:pPr>
              <w:pStyle w:val="Body"/>
              <w:rPr>
                <w:sz w:val="20"/>
              </w:rPr>
            </w:pPr>
            <w:r w:rsidRPr="00B72C03">
              <w:rPr>
                <w:sz w:val="20"/>
              </w:rPr>
              <w:t>Anbieter 2</w:t>
            </w:r>
          </w:p>
        </w:tc>
      </w:tr>
    </w:tbl>
    <w:p w:rsidRPr="001C5276" w:rsidR="00EE439B" w:rsidP="00C905A1" w:rsidRDefault="00EE439B" w14:paraId="7454A355" w14:textId="77777777"/>
    <w:sectPr w:rsidRPr="001C5276" w:rsidR="00EE439B" w:rsidSect="0098454E">
      <w:headerReference w:type="default" r:id="rId11"/>
      <w:footerReference w:type="default" r:id="rId12"/>
      <w:pgSz w:w="11907" w:h="16839" w:orient="portrait" w:code="9"/>
      <w:pgMar w:top="1701" w:right="1588" w:bottom="1304" w:left="1588" w:header="765" w:footer="482"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0AE7" w:rsidRDefault="00570AE7" w14:paraId="4663FDDC" w14:textId="77777777">
      <w:r>
        <w:separator/>
      </w:r>
    </w:p>
  </w:endnote>
  <w:endnote w:type="continuationSeparator" w:id="0">
    <w:p w:rsidR="00570AE7" w:rsidRDefault="00570AE7" w14:paraId="22E2E8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Korrespondenz">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854B9" w:rsidR="00A95D69" w:rsidRDefault="00A95D69" w14:paraId="74BB670F" w14:textId="46004D7A">
    <w:pPr>
      <w:pStyle w:val="DocExCode"/>
    </w:pPr>
    <w:r w:rsidRPr="00E3317B">
      <w:t xml:space="preserve">Vereinbarung zur </w:t>
    </w:r>
    <w:r w:rsidRPr="00E3317B" w:rsidR="00424BCA">
      <w:t>Durchführung</w:t>
    </w:r>
    <w:r w:rsidRPr="008854B9" w:rsidR="00424BCA">
      <w:t xml:space="preserve"> der</w:t>
    </w:r>
    <w:r w:rsidRPr="00EE09AF" w:rsidR="00424BCA">
      <w:t xml:space="preserve"> </w:t>
    </w:r>
    <w:r w:rsidRPr="00EE09AF">
      <w:t>Vorabstimmung</w:t>
    </w:r>
    <w:r w:rsidRPr="00EE09AF" w:rsidR="00964461">
      <w:t xml:space="preserve"> </w:t>
    </w:r>
    <w:r w:rsidRPr="00EE09AF" w:rsidR="00424BCA">
      <w:t>im Rahmen eines</w:t>
    </w:r>
    <w:r w:rsidRPr="008854B9" w:rsidR="00424BCA">
      <w:t xml:space="preserve"> </w:t>
    </w:r>
    <w:r w:rsidRPr="00EE09AF" w:rsidR="00424BCA">
      <w:t>Anbieterwechsels</w:t>
    </w:r>
    <w:r w:rsidRPr="008854B9" w:rsidR="00964461">
      <w:t xml:space="preserve">– Version </w:t>
    </w:r>
    <w:r w:rsidRPr="008854B9" w:rsidR="00EE09AF">
      <w:t>2.0</w:t>
    </w:r>
    <w:r w:rsidRPr="008854B9" w:rsidR="00964461">
      <w:t xml:space="preserve"> </w:t>
    </w:r>
    <w:r w:rsidRPr="008854B9" w:rsidR="0048355A">
      <w:t>(</w:t>
    </w:r>
    <w:r w:rsidRPr="008854B9" w:rsidR="00ED4493">
      <w:t>01</w:t>
    </w:r>
    <w:r w:rsidRPr="008854B9" w:rsidR="0048355A">
      <w:t>.</w:t>
    </w:r>
    <w:r w:rsidRPr="008854B9" w:rsidR="00EE09AF">
      <w:t>12</w:t>
    </w:r>
    <w:r w:rsidRPr="008854B9" w:rsidR="008D6E31">
      <w:t>.202</w:t>
    </w:r>
    <w:r w:rsidRPr="008854B9" w:rsidR="00ED4493">
      <w:t>1</w:t>
    </w:r>
    <w:r w:rsidRPr="008854B9" w:rsidR="0048355A">
      <w:t>)</w:t>
    </w:r>
  </w:p>
  <w:p w:rsidR="00A95D69" w:rsidRDefault="00A95D69" w14:paraId="546D8EDA" w14:textId="77777777">
    <w:pPr>
      <w:pStyle w:val="DocExCode"/>
      <w:jc w:val="center"/>
    </w:pPr>
    <w:r>
      <w:rPr>
        <w:rStyle w:val="Seitenzahl"/>
        <w:kern w:val="17"/>
      </w:rPr>
      <w:fldChar w:fldCharType="begin"/>
    </w:r>
    <w:r>
      <w:rPr>
        <w:rStyle w:val="Seitenzahl"/>
        <w:kern w:val="17"/>
      </w:rPr>
      <w:instrText xml:space="preserve"> PAGE </w:instrText>
    </w:r>
    <w:r>
      <w:rPr>
        <w:rStyle w:val="Seitenzahl"/>
        <w:kern w:val="17"/>
      </w:rPr>
      <w:fldChar w:fldCharType="separate"/>
    </w:r>
    <w:r w:rsidR="00E3317B">
      <w:rPr>
        <w:rStyle w:val="Seitenzahl"/>
        <w:noProof/>
        <w:kern w:val="17"/>
      </w:rPr>
      <w:t>12</w:t>
    </w:r>
    <w:r>
      <w:rPr>
        <w:rStyle w:val="Seitenzahl"/>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0AE7" w:rsidRDefault="00570AE7" w14:paraId="6994B714" w14:textId="77777777">
      <w:r>
        <w:separator/>
      </w:r>
    </w:p>
  </w:footnote>
  <w:footnote w:type="continuationSeparator" w:id="0">
    <w:p w:rsidR="00570AE7" w:rsidRDefault="00570AE7" w14:paraId="06E11F3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D69" w:rsidRDefault="00A95D69" w14:paraId="60A40AE3" w14:textId="77777777">
    <w:pPr>
      <w:pStyle w:val="Linklaters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D69" w:rsidRDefault="00A95D69" w14:paraId="512204ED" w14:textId="77777777">
    <w:pPr>
      <w:pStyle w:val="Linklaters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1C629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C48645C"/>
    <w:multiLevelType w:val="multilevel"/>
    <w:tmpl w:val="CC94FE94"/>
    <w:lvl w:ilvl="0">
      <w:start w:val="1"/>
      <w:numFmt w:val="decimal"/>
      <w:pStyle w:val="Parties"/>
      <w:lvlText w:val="(%1)"/>
      <w:lvlJc w:val="left"/>
      <w:pPr>
        <w:tabs>
          <w:tab w:val="num" w:pos="680"/>
        </w:tabs>
        <w:ind w:left="680" w:hanging="680"/>
      </w:pPr>
      <w:rPr>
        <w:rFonts w:hint="default" w:cs="Times New Roman"/>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173574CD"/>
    <w:multiLevelType w:val="singleLevel"/>
    <w:tmpl w:val="F90CE9E8"/>
    <w:lvl w:ilvl="0">
      <w:start w:val="1"/>
      <w:numFmt w:val="lowerLetter"/>
      <w:pStyle w:val="bullet3"/>
      <w:lvlText w:val="(%1)"/>
      <w:lvlJc w:val="left"/>
      <w:pPr>
        <w:tabs>
          <w:tab w:val="num" w:pos="2608"/>
        </w:tabs>
        <w:ind w:left="2608" w:hanging="567"/>
      </w:pPr>
      <w:rPr>
        <w:rFonts w:hint="default" w:ascii="Arial" w:hAnsi="Arial" w:cs="Times New Roman"/>
        <w:b w:val="0"/>
        <w:i w:val="0"/>
        <w:sz w:val="20"/>
      </w:rPr>
    </w:lvl>
  </w:abstractNum>
  <w:abstractNum w:abstractNumId="3" w15:restartNumberingAfterBreak="0">
    <w:nsid w:val="1FA0643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23971282"/>
    <w:multiLevelType w:val="multilevel"/>
    <w:tmpl w:val="AB7AE962"/>
    <w:lvl w:ilvl="0">
      <w:start w:val="1"/>
      <w:numFmt w:val="upperLetter"/>
      <w:pStyle w:val="Aufzhlungszeichen"/>
      <w:lvlText w:val="%1."/>
      <w:lvlJc w:val="left"/>
      <w:pPr>
        <w:tabs>
          <w:tab w:val="num" w:pos="2608"/>
        </w:tabs>
        <w:ind w:left="2608" w:hanging="567"/>
      </w:pPr>
      <w:rPr>
        <w:rFonts w:hint="default" w:ascii="Arial Bold" w:hAnsi="Arial Bold" w:cs="Times New Roman"/>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34705D16"/>
    <w:multiLevelType w:val="singleLevel"/>
    <w:tmpl w:val="950A0ACE"/>
    <w:lvl w:ilvl="0">
      <w:start w:val="1"/>
      <w:numFmt w:val="lowerLetter"/>
      <w:pStyle w:val="bullet2"/>
      <w:lvlText w:val="(%1)"/>
      <w:lvlJc w:val="left"/>
      <w:pPr>
        <w:tabs>
          <w:tab w:val="num" w:pos="2041"/>
        </w:tabs>
        <w:ind w:left="2041" w:hanging="680"/>
      </w:pPr>
      <w:rPr>
        <w:rFonts w:hint="default" w:ascii="Arial" w:hAnsi="Arial" w:cs="Times New Roman"/>
        <w:b w:val="0"/>
        <w:i w:val="0"/>
        <w:sz w:val="20"/>
      </w:rPr>
    </w:lvl>
  </w:abstractNum>
  <w:abstractNum w:abstractNumId="6" w15:restartNumberingAfterBreak="0">
    <w:nsid w:val="36C60320"/>
    <w:multiLevelType w:val="multilevel"/>
    <w:tmpl w:val="46F6BB50"/>
    <w:name w:val="Numbering2"/>
    <w:lvl w:ilvl="0">
      <w:start w:val="1"/>
      <w:numFmt w:val="bullet"/>
      <w:pStyle w:val="roman2"/>
      <w:lvlText w:val=""/>
      <w:lvlJc w:val="left"/>
      <w:pPr>
        <w:tabs>
          <w:tab w:val="num" w:pos="2041"/>
        </w:tabs>
        <w:ind w:left="2041" w:hanging="68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D826C4A"/>
    <w:multiLevelType w:val="multilevel"/>
    <w:tmpl w:val="A0CE946A"/>
    <w:lvl w:ilvl="0">
      <w:start w:val="1"/>
      <w:numFmt w:val="bullet"/>
      <w:pStyle w:val="roman3"/>
      <w:lvlText w:val=""/>
      <w:lvlJc w:val="left"/>
      <w:pPr>
        <w:tabs>
          <w:tab w:val="num" w:pos="2608"/>
        </w:tabs>
        <w:ind w:left="2608" w:hanging="567"/>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FBC403A"/>
    <w:multiLevelType w:val="multilevel"/>
    <w:tmpl w:val="DEE6998C"/>
    <w:lvl w:ilvl="0">
      <w:start w:val="1"/>
      <w:numFmt w:val="upperLetter"/>
      <w:pStyle w:val="ContractLevel1"/>
      <w:lvlText w:val="%1."/>
      <w:lvlJc w:val="left"/>
      <w:pPr>
        <w:tabs>
          <w:tab w:val="num" w:pos="3288"/>
        </w:tabs>
        <w:ind w:left="3288" w:hanging="680"/>
      </w:pPr>
      <w:rPr>
        <w:rFonts w:hint="default" w:ascii="Arial Bold" w:hAnsi="Arial Bold" w:cs="Times New Roman"/>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46E17188"/>
    <w:multiLevelType w:val="singleLevel"/>
    <w:tmpl w:val="CFEE6A62"/>
    <w:lvl w:ilvl="0">
      <w:start w:val="1"/>
      <w:numFmt w:val="bullet"/>
      <w:pStyle w:val="roman1"/>
      <w:lvlText w:val=""/>
      <w:lvlJc w:val="left"/>
      <w:pPr>
        <w:tabs>
          <w:tab w:val="num" w:pos="1361"/>
        </w:tabs>
        <w:ind w:left="1361" w:hanging="681"/>
      </w:pPr>
      <w:rPr>
        <w:rFonts w:hint="default" w:ascii="Symbol" w:hAnsi="Symbol"/>
      </w:rPr>
    </w:lvl>
  </w:abstractNum>
  <w:abstractNum w:abstractNumId="10" w15:restartNumberingAfterBreak="0">
    <w:nsid w:val="4E6D7BFA"/>
    <w:multiLevelType w:val="singleLevel"/>
    <w:tmpl w:val="E5A484EA"/>
    <w:lvl w:ilvl="0">
      <w:start w:val="1"/>
      <w:numFmt w:val="lowerLetter"/>
      <w:pStyle w:val="bullet4"/>
      <w:lvlText w:val="(%1)"/>
      <w:lvlJc w:val="left"/>
      <w:pPr>
        <w:tabs>
          <w:tab w:val="num" w:pos="3288"/>
        </w:tabs>
        <w:ind w:left="3288" w:hanging="680"/>
      </w:pPr>
      <w:rPr>
        <w:rFonts w:hint="default" w:ascii="Arial" w:hAnsi="Arial" w:cs="Times New Roman"/>
        <w:b w:val="0"/>
        <w:i w:val="0"/>
        <w:sz w:val="20"/>
      </w:rPr>
    </w:lvl>
  </w:abstractNum>
  <w:abstractNum w:abstractNumId="11" w15:restartNumberingAfterBreak="0">
    <w:nsid w:val="51601EA3"/>
    <w:multiLevelType w:val="hybridMultilevel"/>
    <w:tmpl w:val="9BA246B4"/>
    <w:lvl w:ilvl="0" w:tplc="7220D19A">
      <w:start w:val="1"/>
      <w:numFmt w:val="bullet"/>
      <w:pStyle w:val="Listindent1"/>
      <w:lvlText w:val="-"/>
      <w:lvlJc w:val="left"/>
      <w:pPr>
        <w:tabs>
          <w:tab w:val="num" w:pos="1440"/>
        </w:tabs>
        <w:ind w:left="1440" w:hanging="360"/>
      </w:pPr>
      <w:rPr>
        <w:rFonts w:hint="default" w:ascii="Times New Roman" w:hAnsi="Times New Roman"/>
      </w:rPr>
    </w:lvl>
    <w:lvl w:ilvl="1" w:tplc="BB16DD88" w:tentative="1">
      <w:start w:val="1"/>
      <w:numFmt w:val="bullet"/>
      <w:lvlText w:val="o"/>
      <w:lvlJc w:val="left"/>
      <w:pPr>
        <w:tabs>
          <w:tab w:val="num" w:pos="2160"/>
        </w:tabs>
        <w:ind w:left="2160" w:hanging="360"/>
      </w:pPr>
      <w:rPr>
        <w:rFonts w:hint="default" w:ascii="Courier New" w:hAnsi="Courier New"/>
      </w:rPr>
    </w:lvl>
    <w:lvl w:ilvl="2" w:tplc="53B48CB0" w:tentative="1">
      <w:start w:val="1"/>
      <w:numFmt w:val="bullet"/>
      <w:lvlText w:val=""/>
      <w:lvlJc w:val="left"/>
      <w:pPr>
        <w:tabs>
          <w:tab w:val="num" w:pos="2880"/>
        </w:tabs>
        <w:ind w:left="2880" w:hanging="360"/>
      </w:pPr>
      <w:rPr>
        <w:rFonts w:hint="default" w:ascii="Wingdings" w:hAnsi="Wingdings"/>
      </w:rPr>
    </w:lvl>
    <w:lvl w:ilvl="3" w:tplc="A9189ED2" w:tentative="1">
      <w:start w:val="1"/>
      <w:numFmt w:val="bullet"/>
      <w:lvlText w:val=""/>
      <w:lvlJc w:val="left"/>
      <w:pPr>
        <w:tabs>
          <w:tab w:val="num" w:pos="3600"/>
        </w:tabs>
        <w:ind w:left="3600" w:hanging="360"/>
      </w:pPr>
      <w:rPr>
        <w:rFonts w:hint="default" w:ascii="Symbol" w:hAnsi="Symbol"/>
      </w:rPr>
    </w:lvl>
    <w:lvl w:ilvl="4" w:tplc="607A91C6" w:tentative="1">
      <w:start w:val="1"/>
      <w:numFmt w:val="bullet"/>
      <w:lvlText w:val="o"/>
      <w:lvlJc w:val="left"/>
      <w:pPr>
        <w:tabs>
          <w:tab w:val="num" w:pos="4320"/>
        </w:tabs>
        <w:ind w:left="4320" w:hanging="360"/>
      </w:pPr>
      <w:rPr>
        <w:rFonts w:hint="default" w:ascii="Courier New" w:hAnsi="Courier New"/>
      </w:rPr>
    </w:lvl>
    <w:lvl w:ilvl="5" w:tplc="BE26545E" w:tentative="1">
      <w:start w:val="1"/>
      <w:numFmt w:val="bullet"/>
      <w:lvlText w:val=""/>
      <w:lvlJc w:val="left"/>
      <w:pPr>
        <w:tabs>
          <w:tab w:val="num" w:pos="5040"/>
        </w:tabs>
        <w:ind w:left="5040" w:hanging="360"/>
      </w:pPr>
      <w:rPr>
        <w:rFonts w:hint="default" w:ascii="Wingdings" w:hAnsi="Wingdings"/>
      </w:rPr>
    </w:lvl>
    <w:lvl w:ilvl="6" w:tplc="2CB459DC" w:tentative="1">
      <w:start w:val="1"/>
      <w:numFmt w:val="bullet"/>
      <w:lvlText w:val=""/>
      <w:lvlJc w:val="left"/>
      <w:pPr>
        <w:tabs>
          <w:tab w:val="num" w:pos="5760"/>
        </w:tabs>
        <w:ind w:left="5760" w:hanging="360"/>
      </w:pPr>
      <w:rPr>
        <w:rFonts w:hint="default" w:ascii="Symbol" w:hAnsi="Symbol"/>
      </w:rPr>
    </w:lvl>
    <w:lvl w:ilvl="7" w:tplc="E4284D56" w:tentative="1">
      <w:start w:val="1"/>
      <w:numFmt w:val="bullet"/>
      <w:lvlText w:val="o"/>
      <w:lvlJc w:val="left"/>
      <w:pPr>
        <w:tabs>
          <w:tab w:val="num" w:pos="6480"/>
        </w:tabs>
        <w:ind w:left="6480" w:hanging="360"/>
      </w:pPr>
      <w:rPr>
        <w:rFonts w:hint="default" w:ascii="Courier New" w:hAnsi="Courier New"/>
      </w:rPr>
    </w:lvl>
    <w:lvl w:ilvl="8" w:tplc="43A22874" w:tentative="1">
      <w:start w:val="1"/>
      <w:numFmt w:val="bullet"/>
      <w:lvlText w:val=""/>
      <w:lvlJc w:val="left"/>
      <w:pPr>
        <w:tabs>
          <w:tab w:val="num" w:pos="7200"/>
        </w:tabs>
        <w:ind w:left="7200" w:hanging="360"/>
      </w:pPr>
      <w:rPr>
        <w:rFonts w:hint="default" w:ascii="Wingdings" w:hAnsi="Wingdings"/>
      </w:rPr>
    </w:lvl>
  </w:abstractNum>
  <w:abstractNum w:abstractNumId="12" w15:restartNumberingAfterBreak="0">
    <w:nsid w:val="5477338A"/>
    <w:multiLevelType w:val="hybridMultilevel"/>
    <w:tmpl w:val="F9C470C8"/>
    <w:lvl w:ilvl="0" w:tplc="CE02B28E">
      <w:start w:val="1"/>
      <w:numFmt w:val="decimal"/>
      <w:pStyle w:val="Formatvorlage1"/>
      <w:lvlText w:val="§ %1"/>
      <w:lvlJc w:val="left"/>
      <w:pPr>
        <w:tabs>
          <w:tab w:val="num" w:pos="567"/>
        </w:tabs>
        <w:ind w:left="360" w:hanging="360"/>
      </w:pPr>
      <w:rPr>
        <w:rFonts w:hint="default"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49A5BD2"/>
    <w:multiLevelType w:val="hybridMultilevel"/>
    <w:tmpl w:val="7CD8D686"/>
    <w:lvl w:ilvl="0" w:tplc="6D6E7CC2">
      <w:start w:val="1"/>
      <w:numFmt w:val="bullet"/>
      <w:pStyle w:val="berschrift4"/>
      <w:lvlText w:val=""/>
      <w:lvlJc w:val="left"/>
      <w:pPr>
        <w:tabs>
          <w:tab w:val="num" w:pos="1296"/>
        </w:tabs>
        <w:ind w:left="1296" w:hanging="360"/>
      </w:pPr>
      <w:rPr>
        <w:rFonts w:hint="default" w:ascii="Symbol" w:hAnsi="Symbol"/>
      </w:rPr>
    </w:lvl>
    <w:lvl w:ilvl="1" w:tplc="88AA821A" w:tentative="1">
      <w:start w:val="1"/>
      <w:numFmt w:val="bullet"/>
      <w:lvlText w:val="o"/>
      <w:lvlJc w:val="left"/>
      <w:pPr>
        <w:tabs>
          <w:tab w:val="num" w:pos="2016"/>
        </w:tabs>
        <w:ind w:left="2016" w:hanging="360"/>
      </w:pPr>
      <w:rPr>
        <w:rFonts w:hint="default" w:ascii="Courier New" w:hAnsi="Courier New"/>
      </w:rPr>
    </w:lvl>
    <w:lvl w:ilvl="2" w:tplc="866A3618" w:tentative="1">
      <w:start w:val="1"/>
      <w:numFmt w:val="bullet"/>
      <w:lvlText w:val=""/>
      <w:lvlJc w:val="left"/>
      <w:pPr>
        <w:tabs>
          <w:tab w:val="num" w:pos="2736"/>
        </w:tabs>
        <w:ind w:left="2736" w:hanging="360"/>
      </w:pPr>
      <w:rPr>
        <w:rFonts w:hint="default" w:ascii="Wingdings" w:hAnsi="Wingdings"/>
      </w:rPr>
    </w:lvl>
    <w:lvl w:ilvl="3" w:tplc="89E832DE" w:tentative="1">
      <w:start w:val="1"/>
      <w:numFmt w:val="bullet"/>
      <w:lvlText w:val=""/>
      <w:lvlJc w:val="left"/>
      <w:pPr>
        <w:tabs>
          <w:tab w:val="num" w:pos="3456"/>
        </w:tabs>
        <w:ind w:left="3456" w:hanging="360"/>
      </w:pPr>
      <w:rPr>
        <w:rFonts w:hint="default" w:ascii="Symbol" w:hAnsi="Symbol"/>
      </w:rPr>
    </w:lvl>
    <w:lvl w:ilvl="4" w:tplc="B8A62820" w:tentative="1">
      <w:start w:val="1"/>
      <w:numFmt w:val="bullet"/>
      <w:lvlText w:val="o"/>
      <w:lvlJc w:val="left"/>
      <w:pPr>
        <w:tabs>
          <w:tab w:val="num" w:pos="4176"/>
        </w:tabs>
        <w:ind w:left="4176" w:hanging="360"/>
      </w:pPr>
      <w:rPr>
        <w:rFonts w:hint="default" w:ascii="Courier New" w:hAnsi="Courier New"/>
      </w:rPr>
    </w:lvl>
    <w:lvl w:ilvl="5" w:tplc="DC868AEC" w:tentative="1">
      <w:start w:val="1"/>
      <w:numFmt w:val="bullet"/>
      <w:lvlText w:val=""/>
      <w:lvlJc w:val="left"/>
      <w:pPr>
        <w:tabs>
          <w:tab w:val="num" w:pos="4896"/>
        </w:tabs>
        <w:ind w:left="4896" w:hanging="360"/>
      </w:pPr>
      <w:rPr>
        <w:rFonts w:hint="default" w:ascii="Wingdings" w:hAnsi="Wingdings"/>
      </w:rPr>
    </w:lvl>
    <w:lvl w:ilvl="6" w:tplc="157A31FE" w:tentative="1">
      <w:start w:val="1"/>
      <w:numFmt w:val="bullet"/>
      <w:lvlText w:val=""/>
      <w:lvlJc w:val="left"/>
      <w:pPr>
        <w:tabs>
          <w:tab w:val="num" w:pos="5616"/>
        </w:tabs>
        <w:ind w:left="5616" w:hanging="360"/>
      </w:pPr>
      <w:rPr>
        <w:rFonts w:hint="default" w:ascii="Symbol" w:hAnsi="Symbol"/>
      </w:rPr>
    </w:lvl>
    <w:lvl w:ilvl="7" w:tplc="518CBC84" w:tentative="1">
      <w:start w:val="1"/>
      <w:numFmt w:val="bullet"/>
      <w:lvlText w:val="o"/>
      <w:lvlJc w:val="left"/>
      <w:pPr>
        <w:tabs>
          <w:tab w:val="num" w:pos="6336"/>
        </w:tabs>
        <w:ind w:left="6336" w:hanging="360"/>
      </w:pPr>
      <w:rPr>
        <w:rFonts w:hint="default" w:ascii="Courier New" w:hAnsi="Courier New"/>
      </w:rPr>
    </w:lvl>
    <w:lvl w:ilvl="8" w:tplc="B9A6B3B8" w:tentative="1">
      <w:start w:val="1"/>
      <w:numFmt w:val="bullet"/>
      <w:lvlText w:val=""/>
      <w:lvlJc w:val="left"/>
      <w:pPr>
        <w:tabs>
          <w:tab w:val="num" w:pos="7056"/>
        </w:tabs>
        <w:ind w:left="7056" w:hanging="360"/>
      </w:pPr>
      <w:rPr>
        <w:rFonts w:hint="default" w:ascii="Wingdings" w:hAnsi="Wingdings"/>
      </w:rPr>
    </w:lvl>
  </w:abstractNum>
  <w:abstractNum w:abstractNumId="14" w15:restartNumberingAfterBreak="0">
    <w:nsid w:val="5BDE189B"/>
    <w:multiLevelType w:val="multilevel"/>
    <w:tmpl w:val="A1E691CC"/>
    <w:lvl w:ilvl="0">
      <w:start w:val="1"/>
      <w:numFmt w:val="decimal"/>
      <w:pStyle w:val="Heading2Num"/>
      <w:suff w:val="space"/>
      <w:lvlText w:val="%1."/>
      <w:lvlJc w:val="left"/>
      <w:pPr>
        <w:ind w:left="360" w:hanging="360"/>
      </w:pPr>
      <w:rPr>
        <w:rFonts w:hint="default" w:ascii="MetaKorrespondenz" w:hAnsi="MetaKorrespondenz" w:cs="Times New Roman"/>
        <w:b/>
        <w:i w:val="0"/>
        <w:sz w:val="24"/>
      </w:rPr>
    </w:lvl>
    <w:lvl w:ilvl="1">
      <w:start w:val="1"/>
      <w:numFmt w:val="decimal"/>
      <w:pStyle w:val="BodyTextNum"/>
      <w:suff w:val="space"/>
      <w:lvlText w:val="%1.%2."/>
      <w:lvlJc w:val="left"/>
      <w:pPr>
        <w:ind w:left="792" w:hanging="432"/>
      </w:pPr>
      <w:rPr>
        <w:rFonts w:hint="default" w:ascii="MetaKorrespondenz" w:hAnsi="MetaKorrespondenz" w:cs="Times New Roman"/>
        <w:b/>
        <w:i w:val="0"/>
        <w:sz w:val="20"/>
      </w:rPr>
    </w:lvl>
    <w:lvl w:ilvl="2">
      <w:start w:val="1"/>
      <w:numFmt w:val="decimal"/>
      <w:lvlText w:val="%1.%2.%3."/>
      <w:lvlJc w:val="left"/>
      <w:pPr>
        <w:tabs>
          <w:tab w:val="num" w:pos="1440"/>
        </w:tabs>
        <w:ind w:left="1224" w:hanging="504"/>
      </w:pPr>
      <w:rPr>
        <w:rFonts w:hint="default" w:cs="Times New Roman"/>
      </w:rPr>
    </w:lvl>
    <w:lvl w:ilvl="3">
      <w:start w:val="1"/>
      <w:numFmt w:val="decimal"/>
      <w:lvlText w:val="%1.%2.%3.%4."/>
      <w:lvlJc w:val="left"/>
      <w:pPr>
        <w:tabs>
          <w:tab w:val="num" w:pos="1800"/>
        </w:tabs>
        <w:ind w:left="1728" w:hanging="648"/>
      </w:pPr>
      <w:rPr>
        <w:rFonts w:hint="default" w:cs="Times New Roman"/>
      </w:rPr>
    </w:lvl>
    <w:lvl w:ilvl="4">
      <w:start w:val="1"/>
      <w:numFmt w:val="decimal"/>
      <w:lvlText w:val="%1.%2.%3.%4.%5."/>
      <w:lvlJc w:val="left"/>
      <w:pPr>
        <w:tabs>
          <w:tab w:val="num" w:pos="2520"/>
        </w:tabs>
        <w:ind w:left="2232" w:hanging="792"/>
      </w:pPr>
      <w:rPr>
        <w:rFonts w:hint="default" w:cs="Times New Roman"/>
      </w:rPr>
    </w:lvl>
    <w:lvl w:ilvl="5">
      <w:start w:val="1"/>
      <w:numFmt w:val="decimal"/>
      <w:lvlText w:val="%1.%2.%3.%4.%5.%6."/>
      <w:lvlJc w:val="left"/>
      <w:pPr>
        <w:tabs>
          <w:tab w:val="num" w:pos="2880"/>
        </w:tabs>
        <w:ind w:left="2736" w:hanging="936"/>
      </w:pPr>
      <w:rPr>
        <w:rFonts w:hint="default" w:cs="Times New Roman"/>
      </w:rPr>
    </w:lvl>
    <w:lvl w:ilvl="6">
      <w:start w:val="1"/>
      <w:numFmt w:val="decimal"/>
      <w:lvlText w:val="%1.%2.%3.%4.%5.%6.%7."/>
      <w:lvlJc w:val="left"/>
      <w:pPr>
        <w:tabs>
          <w:tab w:val="num" w:pos="3600"/>
        </w:tabs>
        <w:ind w:left="3240" w:hanging="1080"/>
      </w:pPr>
      <w:rPr>
        <w:rFonts w:hint="default" w:cs="Times New Roman"/>
      </w:rPr>
    </w:lvl>
    <w:lvl w:ilvl="7">
      <w:start w:val="1"/>
      <w:numFmt w:val="decimal"/>
      <w:lvlText w:val="%1.%2.%3.%4.%5.%6.%7.%8."/>
      <w:lvlJc w:val="left"/>
      <w:pPr>
        <w:tabs>
          <w:tab w:val="num" w:pos="3960"/>
        </w:tabs>
        <w:ind w:left="3744" w:hanging="1224"/>
      </w:pPr>
      <w:rPr>
        <w:rFonts w:hint="default" w:cs="Times New Roman"/>
      </w:rPr>
    </w:lvl>
    <w:lvl w:ilvl="8">
      <w:start w:val="1"/>
      <w:numFmt w:val="decimal"/>
      <w:lvlText w:val="%1.%2.%3.%4.%5.%6.%7.%8.%9."/>
      <w:lvlJc w:val="left"/>
      <w:pPr>
        <w:tabs>
          <w:tab w:val="num" w:pos="4680"/>
        </w:tabs>
        <w:ind w:left="4320" w:hanging="1440"/>
      </w:pPr>
      <w:rPr>
        <w:rFonts w:hint="default" w:cs="Times New Roman"/>
      </w:rPr>
    </w:lvl>
  </w:abstractNum>
  <w:abstractNum w:abstractNumId="15" w15:restartNumberingAfterBreak="0">
    <w:nsid w:val="5FCB4379"/>
    <w:multiLevelType w:val="multilevel"/>
    <w:tmpl w:val="42EA6E84"/>
    <w:lvl w:ilvl="0">
      <w:start w:val="1"/>
      <w:numFmt w:val="upperLetter"/>
      <w:lvlText w:val="(%1)"/>
      <w:lvlJc w:val="left"/>
      <w:pPr>
        <w:tabs>
          <w:tab w:val="num" w:pos="680"/>
        </w:tabs>
        <w:ind w:left="680" w:hanging="680"/>
      </w:pPr>
      <w:rPr>
        <w:rFonts w:hint="default" w:cs="Times New Roman"/>
      </w:rPr>
    </w:lvl>
    <w:lvl w:ilvl="1">
      <w:start w:val="1"/>
      <w:numFmt w:val="bullet"/>
      <w:lvlText w:val=""/>
      <w:lvlJc w:val="left"/>
      <w:pPr>
        <w:tabs>
          <w:tab w:val="num" w:pos="2520"/>
        </w:tabs>
        <w:ind w:left="2520" w:hanging="900"/>
      </w:pPr>
      <w:rPr>
        <w:rFonts w:hint="default" w:ascii="Symbol" w:hAnsi="Symbol"/>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62051E62"/>
    <w:multiLevelType w:val="multilevel"/>
    <w:tmpl w:val="9604AE50"/>
    <w:lvl w:ilvl="0">
      <w:start w:val="1"/>
      <w:numFmt w:val="decimal"/>
      <w:lvlText w:val="%1."/>
      <w:lvlJc w:val="left"/>
      <w:pPr>
        <w:tabs>
          <w:tab w:val="num" w:pos="1437"/>
        </w:tabs>
        <w:ind w:left="1437" w:hanging="360"/>
      </w:pPr>
      <w:rPr>
        <w:rFonts w:hint="default" w:cs="Times New Roman"/>
      </w:rPr>
    </w:lvl>
    <w:lvl w:ilvl="1">
      <w:start w:val="1"/>
      <w:numFmt w:val="decimal"/>
      <w:lvlText w:val="%1.%2."/>
      <w:lvlJc w:val="left"/>
      <w:pPr>
        <w:tabs>
          <w:tab w:val="num" w:pos="1869"/>
        </w:tabs>
        <w:ind w:left="1869" w:hanging="432"/>
      </w:pPr>
      <w:rPr>
        <w:rFonts w:hint="default" w:cs="Times New Roman"/>
      </w:rPr>
    </w:lvl>
    <w:lvl w:ilvl="2">
      <w:start w:val="1"/>
      <w:numFmt w:val="decimal"/>
      <w:pStyle w:val="numberedheading3"/>
      <w:lvlText w:val="%1.%2.%3."/>
      <w:lvlJc w:val="left"/>
      <w:pPr>
        <w:tabs>
          <w:tab w:val="num" w:pos="2517"/>
        </w:tabs>
        <w:ind w:left="2301" w:hanging="504"/>
      </w:pPr>
      <w:rPr>
        <w:rFonts w:hint="default" w:cs="Times New Roman"/>
      </w:rPr>
    </w:lvl>
    <w:lvl w:ilvl="3">
      <w:start w:val="1"/>
      <w:numFmt w:val="decimal"/>
      <w:lvlText w:val="%1.%2.%3.%4."/>
      <w:lvlJc w:val="left"/>
      <w:pPr>
        <w:tabs>
          <w:tab w:val="num" w:pos="2877"/>
        </w:tabs>
        <w:ind w:left="2805" w:hanging="648"/>
      </w:pPr>
      <w:rPr>
        <w:rFonts w:hint="default" w:cs="Times New Roman"/>
      </w:rPr>
    </w:lvl>
    <w:lvl w:ilvl="4">
      <w:start w:val="1"/>
      <w:numFmt w:val="decimal"/>
      <w:lvlText w:val="%1.%2.%3.%4.%5."/>
      <w:lvlJc w:val="left"/>
      <w:pPr>
        <w:tabs>
          <w:tab w:val="num" w:pos="3597"/>
        </w:tabs>
        <w:ind w:left="3309" w:hanging="792"/>
      </w:pPr>
      <w:rPr>
        <w:rFonts w:hint="default" w:cs="Times New Roman"/>
      </w:rPr>
    </w:lvl>
    <w:lvl w:ilvl="5">
      <w:start w:val="1"/>
      <w:numFmt w:val="decimal"/>
      <w:lvlText w:val="%1.%2.%3.%4.%5.%6."/>
      <w:lvlJc w:val="left"/>
      <w:pPr>
        <w:tabs>
          <w:tab w:val="num" w:pos="3957"/>
        </w:tabs>
        <w:ind w:left="3813" w:hanging="936"/>
      </w:pPr>
      <w:rPr>
        <w:rFonts w:hint="default" w:cs="Times New Roman"/>
      </w:rPr>
    </w:lvl>
    <w:lvl w:ilvl="6">
      <w:start w:val="1"/>
      <w:numFmt w:val="decimal"/>
      <w:lvlText w:val="%1.%2.%3.%4.%5.%6.%7."/>
      <w:lvlJc w:val="left"/>
      <w:pPr>
        <w:tabs>
          <w:tab w:val="num" w:pos="4677"/>
        </w:tabs>
        <w:ind w:left="4317" w:hanging="1080"/>
      </w:pPr>
      <w:rPr>
        <w:rFonts w:hint="default" w:cs="Times New Roman"/>
      </w:rPr>
    </w:lvl>
    <w:lvl w:ilvl="7">
      <w:start w:val="1"/>
      <w:numFmt w:val="decimal"/>
      <w:lvlText w:val="%1.%2.%3.%4.%5.%6.%7.%8."/>
      <w:lvlJc w:val="left"/>
      <w:pPr>
        <w:tabs>
          <w:tab w:val="num" w:pos="5037"/>
        </w:tabs>
        <w:ind w:left="4821" w:hanging="1224"/>
      </w:pPr>
      <w:rPr>
        <w:rFonts w:hint="default" w:cs="Times New Roman"/>
      </w:rPr>
    </w:lvl>
    <w:lvl w:ilvl="8">
      <w:start w:val="1"/>
      <w:numFmt w:val="decimal"/>
      <w:lvlText w:val="%1.%2.%3.%4.%5.%6.%7.%8.%9."/>
      <w:lvlJc w:val="left"/>
      <w:pPr>
        <w:tabs>
          <w:tab w:val="num" w:pos="5757"/>
        </w:tabs>
        <w:ind w:left="5397" w:hanging="1440"/>
      </w:pPr>
      <w:rPr>
        <w:rFonts w:hint="default" w:cs="Times New Roman"/>
      </w:rPr>
    </w:lvl>
  </w:abstractNum>
  <w:abstractNum w:abstractNumId="17" w15:restartNumberingAfterBreak="0">
    <w:nsid w:val="691460EC"/>
    <w:multiLevelType w:val="multilevel"/>
    <w:tmpl w:val="15E2ED8E"/>
    <w:lvl w:ilvl="0">
      <w:start w:val="1"/>
      <w:numFmt w:val="decimal"/>
      <w:pStyle w:val="numberedheading"/>
      <w:lvlText w:val="%1."/>
      <w:lvlJc w:val="left"/>
      <w:pPr>
        <w:tabs>
          <w:tab w:val="num" w:pos="207"/>
        </w:tabs>
        <w:ind w:left="207" w:hanging="360"/>
      </w:pPr>
      <w:rPr>
        <w:rFonts w:hint="default" w:cs="Times New Roman"/>
      </w:rPr>
    </w:lvl>
    <w:lvl w:ilvl="1">
      <w:start w:val="1"/>
      <w:numFmt w:val="decimal"/>
      <w:pStyle w:val="numberedheading2"/>
      <w:lvlText w:val="%1.%2."/>
      <w:lvlJc w:val="left"/>
      <w:pPr>
        <w:tabs>
          <w:tab w:val="num" w:pos="639"/>
        </w:tabs>
        <w:ind w:left="639" w:hanging="432"/>
      </w:pPr>
      <w:rPr>
        <w:rFonts w:cs="Times New Roman"/>
        <w:b w:val="0"/>
        <w:bCs w:val="0"/>
        <w:i w:val="0"/>
        <w:iCs w:val="0"/>
        <w:caps w:val="0"/>
        <w:smallCaps w:val="0"/>
        <w:strike w:val="0"/>
        <w:dstrike w:val="0"/>
        <w:vanish w:val="0"/>
        <w:spacing w:val="0"/>
        <w:position w:val="0"/>
        <w:u w:val="none"/>
        <w:effect w:val="none"/>
        <w:vertAlign w:val="baseline"/>
      </w:rPr>
    </w:lvl>
    <w:lvl w:ilvl="2">
      <w:start w:val="1"/>
      <w:numFmt w:val="decimal"/>
      <w:lvlText w:val="%1.%2.%3."/>
      <w:lvlJc w:val="left"/>
      <w:pPr>
        <w:tabs>
          <w:tab w:val="num" w:pos="1287"/>
        </w:tabs>
        <w:ind w:left="1071" w:hanging="504"/>
      </w:pPr>
      <w:rPr>
        <w:rFonts w:hint="default" w:cs="Times New Roman"/>
      </w:rPr>
    </w:lvl>
    <w:lvl w:ilvl="3">
      <w:start w:val="1"/>
      <w:numFmt w:val="decimal"/>
      <w:lvlText w:val="%1.%2.%3.%4."/>
      <w:lvlJc w:val="left"/>
      <w:pPr>
        <w:tabs>
          <w:tab w:val="num" w:pos="1647"/>
        </w:tabs>
        <w:ind w:left="1575" w:hanging="648"/>
      </w:pPr>
      <w:rPr>
        <w:rFonts w:hint="default" w:cs="Times New Roman"/>
      </w:rPr>
    </w:lvl>
    <w:lvl w:ilvl="4">
      <w:start w:val="1"/>
      <w:numFmt w:val="decimal"/>
      <w:lvlText w:val="%1.%2.%3.%4.%5."/>
      <w:lvlJc w:val="left"/>
      <w:pPr>
        <w:tabs>
          <w:tab w:val="num" w:pos="2367"/>
        </w:tabs>
        <w:ind w:left="2079" w:hanging="792"/>
      </w:pPr>
      <w:rPr>
        <w:rFonts w:hint="default" w:cs="Times New Roman"/>
      </w:rPr>
    </w:lvl>
    <w:lvl w:ilvl="5">
      <w:start w:val="1"/>
      <w:numFmt w:val="decimal"/>
      <w:lvlText w:val="%1.%2.%3.%4.%5.%6."/>
      <w:lvlJc w:val="left"/>
      <w:pPr>
        <w:tabs>
          <w:tab w:val="num" w:pos="2727"/>
        </w:tabs>
        <w:ind w:left="2583" w:hanging="936"/>
      </w:pPr>
      <w:rPr>
        <w:rFonts w:hint="default" w:cs="Times New Roman"/>
      </w:rPr>
    </w:lvl>
    <w:lvl w:ilvl="6">
      <w:start w:val="1"/>
      <w:numFmt w:val="decimal"/>
      <w:lvlText w:val="%1.%2.%3.%4.%5.%6.%7."/>
      <w:lvlJc w:val="left"/>
      <w:pPr>
        <w:tabs>
          <w:tab w:val="num" w:pos="3447"/>
        </w:tabs>
        <w:ind w:left="3087" w:hanging="1080"/>
      </w:pPr>
      <w:rPr>
        <w:rFonts w:hint="default" w:cs="Times New Roman"/>
      </w:rPr>
    </w:lvl>
    <w:lvl w:ilvl="7">
      <w:start w:val="1"/>
      <w:numFmt w:val="decimal"/>
      <w:lvlText w:val="%1.%2.%3.%4.%5.%6.%7.%8."/>
      <w:lvlJc w:val="left"/>
      <w:pPr>
        <w:tabs>
          <w:tab w:val="num" w:pos="3807"/>
        </w:tabs>
        <w:ind w:left="3591" w:hanging="1224"/>
      </w:pPr>
      <w:rPr>
        <w:rFonts w:hint="default" w:cs="Times New Roman"/>
      </w:rPr>
    </w:lvl>
    <w:lvl w:ilvl="8">
      <w:start w:val="1"/>
      <w:numFmt w:val="decimal"/>
      <w:lvlText w:val="%1.%2.%3.%4.%5.%6.%7.%8.%9."/>
      <w:lvlJc w:val="left"/>
      <w:pPr>
        <w:tabs>
          <w:tab w:val="num" w:pos="4527"/>
        </w:tabs>
        <w:ind w:left="4167" w:hanging="1440"/>
      </w:pPr>
      <w:rPr>
        <w:rFonts w:hint="default" w:cs="Times New Roman"/>
      </w:rPr>
    </w:lvl>
  </w:abstractNum>
  <w:abstractNum w:abstractNumId="18" w15:restartNumberingAfterBreak="0">
    <w:nsid w:val="69302284"/>
    <w:multiLevelType w:val="multilevel"/>
    <w:tmpl w:val="94EC91C2"/>
    <w:lvl w:ilvl="0">
      <w:start w:val="1"/>
      <w:numFmt w:val="bullet"/>
      <w:lvlText w:val=""/>
      <w:lvlJc w:val="left"/>
      <w:pPr>
        <w:tabs>
          <w:tab w:val="num" w:pos="680"/>
        </w:tabs>
        <w:ind w:left="680" w:hanging="680"/>
      </w:pPr>
      <w:rPr>
        <w:rFonts w:hint="default" w:ascii="Symbol" w:hAnsi="Symbol"/>
      </w:rPr>
    </w:lvl>
    <w:lvl w:ilvl="1">
      <w:start w:val="1"/>
      <w:numFmt w:val="bullet"/>
      <w:lvlText w:val=""/>
      <w:lvlJc w:val="left"/>
      <w:pPr>
        <w:tabs>
          <w:tab w:val="num" w:pos="2520"/>
        </w:tabs>
        <w:ind w:left="2520" w:hanging="900"/>
      </w:pPr>
      <w:rPr>
        <w:rFonts w:hint="default" w:ascii="Symbol" w:hAnsi="Symbol"/>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6A7F67AA"/>
    <w:multiLevelType w:val="multilevel"/>
    <w:tmpl w:val="3538031C"/>
    <w:lvl w:ilvl="0">
      <w:start w:val="1"/>
      <w:numFmt w:val="upperLetter"/>
      <w:pStyle w:val="zFSAddress2"/>
      <w:lvlText w:val="%1."/>
      <w:lvlJc w:val="left"/>
      <w:pPr>
        <w:tabs>
          <w:tab w:val="num" w:pos="2041"/>
        </w:tabs>
        <w:ind w:left="2041" w:hanging="680"/>
      </w:pPr>
      <w:rPr>
        <w:rFonts w:hint="default" w:ascii="Arial Bold" w:hAnsi="Arial Bold" w:cs="Times New Roman"/>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B1D1232"/>
    <w:multiLevelType w:val="multilevel"/>
    <w:tmpl w:val="81AAE6B6"/>
    <w:lvl w:ilvl="0">
      <w:start w:val="1"/>
      <w:numFmt w:val="decimal"/>
      <w:lvlText w:val="%1"/>
      <w:lvlJc w:val="left"/>
      <w:pPr>
        <w:tabs>
          <w:tab w:val="num" w:pos="1040"/>
        </w:tabs>
        <w:ind w:left="1040" w:hanging="680"/>
      </w:pPr>
      <w:rPr>
        <w:rFonts w:hint="default" w:cs="Times New Roman"/>
        <w:b/>
        <w:i w:val="0"/>
        <w:sz w:val="22"/>
      </w:rPr>
    </w:lvl>
    <w:lvl w:ilvl="1">
      <w:start w:val="1"/>
      <w:numFmt w:val="decimal"/>
      <w:lvlText w:val="%1.%2"/>
      <w:lvlJc w:val="left"/>
      <w:pPr>
        <w:tabs>
          <w:tab w:val="num" w:pos="680"/>
        </w:tabs>
        <w:ind w:left="680" w:hanging="680"/>
      </w:pPr>
      <w:rPr>
        <w:rFonts w:hint="default" w:cs="Times New Roman"/>
        <w:b/>
        <w:i w:val="0"/>
        <w:sz w:val="21"/>
      </w:rPr>
    </w:lvl>
    <w:lvl w:ilvl="2">
      <w:start w:val="1"/>
      <w:numFmt w:val="decimal"/>
      <w:lvlText w:val="%1.%2.%3"/>
      <w:lvlJc w:val="left"/>
      <w:pPr>
        <w:tabs>
          <w:tab w:val="num" w:pos="1361"/>
        </w:tabs>
        <w:ind w:left="1361" w:hanging="681"/>
      </w:pPr>
      <w:rPr>
        <w:rFonts w:hint="default" w:cs="Times New Roman"/>
        <w:b/>
        <w:i w:val="0"/>
        <w:sz w:val="17"/>
      </w:rPr>
    </w:lvl>
    <w:lvl w:ilvl="3">
      <w:start w:val="1"/>
      <w:numFmt w:val="lowerRoman"/>
      <w:lvlText w:val="(%4)"/>
      <w:lvlJc w:val="left"/>
      <w:pPr>
        <w:tabs>
          <w:tab w:val="num" w:pos="2660"/>
        </w:tabs>
        <w:ind w:left="2660" w:hanging="680"/>
      </w:pPr>
      <w:rPr>
        <w:rFonts w:hint="default" w:cs="Times New Roman"/>
      </w:rPr>
    </w:lvl>
    <w:lvl w:ilvl="4">
      <w:start w:val="1"/>
      <w:numFmt w:val="lowerLetter"/>
      <w:lvlText w:val="(%5)"/>
      <w:lvlJc w:val="left"/>
      <w:pPr>
        <w:tabs>
          <w:tab w:val="num" w:pos="2608"/>
        </w:tabs>
        <w:ind w:left="2608" w:hanging="567"/>
      </w:pPr>
      <w:rPr>
        <w:rFonts w:hint="default" w:cs="Times New Roman"/>
      </w:rPr>
    </w:lvl>
    <w:lvl w:ilvl="5">
      <w:start w:val="1"/>
      <w:numFmt w:val="upperRoman"/>
      <w:lvlText w:val="(%6)"/>
      <w:lvlJc w:val="left"/>
      <w:pPr>
        <w:tabs>
          <w:tab w:val="num" w:pos="3288"/>
        </w:tabs>
        <w:ind w:left="3288" w:hanging="680"/>
      </w:pPr>
      <w:rPr>
        <w:rFonts w:hint="default" w:cs="Times New Roman"/>
      </w:rPr>
    </w:lvl>
    <w:lvl w:ilvl="6">
      <w:start w:val="1"/>
      <w:numFmt w:val="none"/>
      <w:lvlText w:val=""/>
      <w:lvlJc w:val="left"/>
      <w:pPr>
        <w:tabs>
          <w:tab w:val="num" w:pos="3288"/>
        </w:tabs>
        <w:ind w:left="3288" w:hanging="680"/>
      </w:pPr>
      <w:rPr>
        <w:rFonts w:hint="default" w:cs="Times New Roman"/>
      </w:rPr>
    </w:lvl>
    <w:lvl w:ilvl="7">
      <w:start w:val="1"/>
      <w:numFmt w:val="none"/>
      <w:lvlText w:val=""/>
      <w:lvlJc w:val="left"/>
      <w:pPr>
        <w:tabs>
          <w:tab w:val="num" w:pos="3288"/>
        </w:tabs>
        <w:ind w:left="3288" w:hanging="680"/>
      </w:pPr>
      <w:rPr>
        <w:rFonts w:hint="default" w:cs="Times New Roman"/>
      </w:rPr>
    </w:lvl>
    <w:lvl w:ilvl="8">
      <w:start w:val="1"/>
      <w:numFmt w:val="none"/>
      <w:lvlText w:val=""/>
      <w:lvlJc w:val="left"/>
      <w:pPr>
        <w:tabs>
          <w:tab w:val="num" w:pos="3288"/>
        </w:tabs>
        <w:ind w:left="3288" w:hanging="680"/>
      </w:pPr>
      <w:rPr>
        <w:rFonts w:hint="default" w:cs="Times New Roman"/>
      </w:rPr>
    </w:lvl>
  </w:abstractNum>
  <w:abstractNum w:abstractNumId="21" w15:restartNumberingAfterBreak="0">
    <w:nsid w:val="7109462A"/>
    <w:multiLevelType w:val="multilevel"/>
    <w:tmpl w:val="ABE04910"/>
    <w:lvl w:ilvl="0">
      <w:start w:val="1"/>
      <w:numFmt w:val="bullet"/>
      <w:pStyle w:val="roman5"/>
      <w:lvlText w:val=""/>
      <w:lvlJc w:val="left"/>
      <w:pPr>
        <w:tabs>
          <w:tab w:val="num" w:pos="3969"/>
        </w:tabs>
        <w:ind w:left="3969" w:hanging="681"/>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6"/>
  </w:num>
  <w:num w:numId="14">
    <w:abstractNumId w:val="17"/>
  </w:num>
  <w:num w:numId="15">
    <w:abstractNumId w:val="11"/>
  </w:num>
  <w:num w:numId="16">
    <w:abstractNumId w:val="20"/>
  </w:num>
  <w:num w:numId="17">
    <w:abstractNumId w:val="1"/>
  </w:num>
  <w:num w:numId="18">
    <w:abstractNumId w:val="15"/>
  </w:num>
  <w:num w:numId="19">
    <w:abstractNumId w:val="14"/>
  </w:num>
  <w:num w:numId="20">
    <w:abstractNumId w:val="2"/>
  </w:num>
  <w:num w:numId="21">
    <w:abstractNumId w:val="6"/>
  </w:num>
  <w:num w:numId="22">
    <w:abstractNumId w:val="13"/>
  </w:num>
  <w:num w:numId="23">
    <w:abstractNumId w:val="10"/>
  </w:num>
  <w:num w:numId="24">
    <w:abstractNumId w:val="19"/>
  </w:num>
  <w:num w:numId="25">
    <w:abstractNumId w:val="4"/>
  </w:num>
  <w:num w:numId="26">
    <w:abstractNumId w:val="8"/>
  </w:num>
  <w:num w:numId="27">
    <w:abstractNumId w:val="7"/>
  </w:num>
  <w:num w:numId="28">
    <w:abstractNumId w:val="5"/>
  </w:num>
  <w:num w:numId="29">
    <w:abstractNumId w:val="9"/>
  </w:num>
  <w:num w:numId="30">
    <w:abstractNumId w:val="21"/>
  </w:num>
  <w:num w:numId="31">
    <w:abstractNumId w:val="12"/>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1DC"/>
    <w:rsid w:val="00004B32"/>
    <w:rsid w:val="000066B6"/>
    <w:rsid w:val="00011591"/>
    <w:rsid w:val="00013389"/>
    <w:rsid w:val="00014562"/>
    <w:rsid w:val="00015FE6"/>
    <w:rsid w:val="000174A4"/>
    <w:rsid w:val="00025521"/>
    <w:rsid w:val="00026E57"/>
    <w:rsid w:val="00040AD0"/>
    <w:rsid w:val="00042762"/>
    <w:rsid w:val="00044498"/>
    <w:rsid w:val="000448AE"/>
    <w:rsid w:val="00044E42"/>
    <w:rsid w:val="000471F9"/>
    <w:rsid w:val="000501A7"/>
    <w:rsid w:val="000655A4"/>
    <w:rsid w:val="00071162"/>
    <w:rsid w:val="00071BA4"/>
    <w:rsid w:val="00075DC0"/>
    <w:rsid w:val="00076732"/>
    <w:rsid w:val="00077A7C"/>
    <w:rsid w:val="00082CBF"/>
    <w:rsid w:val="00087889"/>
    <w:rsid w:val="00087D84"/>
    <w:rsid w:val="00091525"/>
    <w:rsid w:val="000948AD"/>
    <w:rsid w:val="000A21DC"/>
    <w:rsid w:val="000A2639"/>
    <w:rsid w:val="000A43D1"/>
    <w:rsid w:val="000A7939"/>
    <w:rsid w:val="000B0877"/>
    <w:rsid w:val="000B1113"/>
    <w:rsid w:val="000B1CFB"/>
    <w:rsid w:val="000C283C"/>
    <w:rsid w:val="000C3E1A"/>
    <w:rsid w:val="000C511F"/>
    <w:rsid w:val="000D5107"/>
    <w:rsid w:val="000D5989"/>
    <w:rsid w:val="000D65FA"/>
    <w:rsid w:val="000D7106"/>
    <w:rsid w:val="000E354B"/>
    <w:rsid w:val="000F28C5"/>
    <w:rsid w:val="000F5F43"/>
    <w:rsid w:val="000F7EA8"/>
    <w:rsid w:val="001143EA"/>
    <w:rsid w:val="00115646"/>
    <w:rsid w:val="00124F7D"/>
    <w:rsid w:val="00126FA4"/>
    <w:rsid w:val="001312AE"/>
    <w:rsid w:val="00135A2C"/>
    <w:rsid w:val="00137264"/>
    <w:rsid w:val="00142CF6"/>
    <w:rsid w:val="00143A14"/>
    <w:rsid w:val="00144DE2"/>
    <w:rsid w:val="00147886"/>
    <w:rsid w:val="001532CF"/>
    <w:rsid w:val="00157420"/>
    <w:rsid w:val="00161B45"/>
    <w:rsid w:val="00167C4A"/>
    <w:rsid w:val="00184198"/>
    <w:rsid w:val="00186038"/>
    <w:rsid w:val="0019203B"/>
    <w:rsid w:val="00193019"/>
    <w:rsid w:val="001939FE"/>
    <w:rsid w:val="00197A6F"/>
    <w:rsid w:val="001A5338"/>
    <w:rsid w:val="001B04D5"/>
    <w:rsid w:val="001B16CC"/>
    <w:rsid w:val="001B31E2"/>
    <w:rsid w:val="001B35D8"/>
    <w:rsid w:val="001C5276"/>
    <w:rsid w:val="001C5A8B"/>
    <w:rsid w:val="001C777F"/>
    <w:rsid w:val="001D2B6F"/>
    <w:rsid w:val="001D2F5D"/>
    <w:rsid w:val="001E654A"/>
    <w:rsid w:val="001E7BFC"/>
    <w:rsid w:val="001F1294"/>
    <w:rsid w:val="001F295E"/>
    <w:rsid w:val="001F319F"/>
    <w:rsid w:val="001F3827"/>
    <w:rsid w:val="001F46C8"/>
    <w:rsid w:val="001F5543"/>
    <w:rsid w:val="001F589C"/>
    <w:rsid w:val="001F7D14"/>
    <w:rsid w:val="00204A82"/>
    <w:rsid w:val="00205241"/>
    <w:rsid w:val="00205E7D"/>
    <w:rsid w:val="00210465"/>
    <w:rsid w:val="00210717"/>
    <w:rsid w:val="002126CA"/>
    <w:rsid w:val="00214024"/>
    <w:rsid w:val="0022705A"/>
    <w:rsid w:val="002300B3"/>
    <w:rsid w:val="00230147"/>
    <w:rsid w:val="00231173"/>
    <w:rsid w:val="00232D8B"/>
    <w:rsid w:val="00236D29"/>
    <w:rsid w:val="00241592"/>
    <w:rsid w:val="00243E4B"/>
    <w:rsid w:val="00246492"/>
    <w:rsid w:val="002467D7"/>
    <w:rsid w:val="00253B73"/>
    <w:rsid w:val="00255E29"/>
    <w:rsid w:val="00262FC4"/>
    <w:rsid w:val="00264845"/>
    <w:rsid w:val="00270B94"/>
    <w:rsid w:val="002746F7"/>
    <w:rsid w:val="00275A0F"/>
    <w:rsid w:val="00276D7E"/>
    <w:rsid w:val="00281DF3"/>
    <w:rsid w:val="002932BD"/>
    <w:rsid w:val="00297FB8"/>
    <w:rsid w:val="002A2936"/>
    <w:rsid w:val="002B2BB0"/>
    <w:rsid w:val="002B2C78"/>
    <w:rsid w:val="002B692A"/>
    <w:rsid w:val="002C1955"/>
    <w:rsid w:val="002D34E9"/>
    <w:rsid w:val="002D3A4B"/>
    <w:rsid w:val="002D6651"/>
    <w:rsid w:val="002E03DF"/>
    <w:rsid w:val="002E0C00"/>
    <w:rsid w:val="002E1BD5"/>
    <w:rsid w:val="002E39B4"/>
    <w:rsid w:val="002F0956"/>
    <w:rsid w:val="002F168E"/>
    <w:rsid w:val="002F6162"/>
    <w:rsid w:val="002F668C"/>
    <w:rsid w:val="003016E6"/>
    <w:rsid w:val="003045E7"/>
    <w:rsid w:val="00310635"/>
    <w:rsid w:val="00310737"/>
    <w:rsid w:val="003120FE"/>
    <w:rsid w:val="00312425"/>
    <w:rsid w:val="003151B5"/>
    <w:rsid w:val="0032104D"/>
    <w:rsid w:val="00324921"/>
    <w:rsid w:val="003269C2"/>
    <w:rsid w:val="003269E4"/>
    <w:rsid w:val="003306A9"/>
    <w:rsid w:val="00330DAB"/>
    <w:rsid w:val="00330E2E"/>
    <w:rsid w:val="0033474C"/>
    <w:rsid w:val="00334876"/>
    <w:rsid w:val="003433A0"/>
    <w:rsid w:val="00343892"/>
    <w:rsid w:val="00345895"/>
    <w:rsid w:val="00351126"/>
    <w:rsid w:val="0035233B"/>
    <w:rsid w:val="00352343"/>
    <w:rsid w:val="00355D62"/>
    <w:rsid w:val="003627F9"/>
    <w:rsid w:val="0036282A"/>
    <w:rsid w:val="00364EBC"/>
    <w:rsid w:val="0036710A"/>
    <w:rsid w:val="00367D01"/>
    <w:rsid w:val="00370850"/>
    <w:rsid w:val="00384806"/>
    <w:rsid w:val="003852E2"/>
    <w:rsid w:val="00390B59"/>
    <w:rsid w:val="00391649"/>
    <w:rsid w:val="00392731"/>
    <w:rsid w:val="003A6658"/>
    <w:rsid w:val="003A7CC2"/>
    <w:rsid w:val="003B5AAE"/>
    <w:rsid w:val="003C4F5C"/>
    <w:rsid w:val="003C5E23"/>
    <w:rsid w:val="003C6736"/>
    <w:rsid w:val="003C6DA3"/>
    <w:rsid w:val="003C721B"/>
    <w:rsid w:val="003D3F7C"/>
    <w:rsid w:val="003D6D46"/>
    <w:rsid w:val="003D75E4"/>
    <w:rsid w:val="003E4A04"/>
    <w:rsid w:val="003E54FC"/>
    <w:rsid w:val="003E5B7A"/>
    <w:rsid w:val="003F2259"/>
    <w:rsid w:val="003F2503"/>
    <w:rsid w:val="003F3005"/>
    <w:rsid w:val="00400009"/>
    <w:rsid w:val="0040125F"/>
    <w:rsid w:val="00401637"/>
    <w:rsid w:val="00402486"/>
    <w:rsid w:val="00404C84"/>
    <w:rsid w:val="00413A58"/>
    <w:rsid w:val="00420C6F"/>
    <w:rsid w:val="0042215C"/>
    <w:rsid w:val="00424BCA"/>
    <w:rsid w:val="00432AFE"/>
    <w:rsid w:val="0043487A"/>
    <w:rsid w:val="004367E4"/>
    <w:rsid w:val="00437DEF"/>
    <w:rsid w:val="00447DA4"/>
    <w:rsid w:val="00450B49"/>
    <w:rsid w:val="004517C5"/>
    <w:rsid w:val="0045635D"/>
    <w:rsid w:val="0045675E"/>
    <w:rsid w:val="00462038"/>
    <w:rsid w:val="00466156"/>
    <w:rsid w:val="00471B3D"/>
    <w:rsid w:val="004753DF"/>
    <w:rsid w:val="00477925"/>
    <w:rsid w:val="00477CE0"/>
    <w:rsid w:val="00480E65"/>
    <w:rsid w:val="00481E56"/>
    <w:rsid w:val="0048355A"/>
    <w:rsid w:val="00484F74"/>
    <w:rsid w:val="004901BB"/>
    <w:rsid w:val="0049519C"/>
    <w:rsid w:val="004951F4"/>
    <w:rsid w:val="00495563"/>
    <w:rsid w:val="00496209"/>
    <w:rsid w:val="00496E31"/>
    <w:rsid w:val="004A0953"/>
    <w:rsid w:val="004B107A"/>
    <w:rsid w:val="004B26B4"/>
    <w:rsid w:val="004B5718"/>
    <w:rsid w:val="004C128D"/>
    <w:rsid w:val="004C1CB9"/>
    <w:rsid w:val="004C1F9F"/>
    <w:rsid w:val="004D1216"/>
    <w:rsid w:val="004D155F"/>
    <w:rsid w:val="004E0972"/>
    <w:rsid w:val="004E1051"/>
    <w:rsid w:val="004E2892"/>
    <w:rsid w:val="004E4C7F"/>
    <w:rsid w:val="004F054B"/>
    <w:rsid w:val="004F0776"/>
    <w:rsid w:val="004F509D"/>
    <w:rsid w:val="004F531B"/>
    <w:rsid w:val="004F6664"/>
    <w:rsid w:val="00504D66"/>
    <w:rsid w:val="00510395"/>
    <w:rsid w:val="005107EA"/>
    <w:rsid w:val="00514213"/>
    <w:rsid w:val="00516C61"/>
    <w:rsid w:val="00517309"/>
    <w:rsid w:val="00517F29"/>
    <w:rsid w:val="00530A31"/>
    <w:rsid w:val="005335BB"/>
    <w:rsid w:val="00534C4F"/>
    <w:rsid w:val="005374B4"/>
    <w:rsid w:val="00540E9D"/>
    <w:rsid w:val="00543468"/>
    <w:rsid w:val="005440EB"/>
    <w:rsid w:val="00544DEC"/>
    <w:rsid w:val="00545B96"/>
    <w:rsid w:val="005467BD"/>
    <w:rsid w:val="005508BA"/>
    <w:rsid w:val="00552B1F"/>
    <w:rsid w:val="00553DFD"/>
    <w:rsid w:val="00561621"/>
    <w:rsid w:val="00561D5D"/>
    <w:rsid w:val="0056534B"/>
    <w:rsid w:val="00565EC0"/>
    <w:rsid w:val="00570AE7"/>
    <w:rsid w:val="00573956"/>
    <w:rsid w:val="005765BC"/>
    <w:rsid w:val="005879B2"/>
    <w:rsid w:val="00591101"/>
    <w:rsid w:val="00594C6C"/>
    <w:rsid w:val="005962BB"/>
    <w:rsid w:val="0059646F"/>
    <w:rsid w:val="005A30EC"/>
    <w:rsid w:val="005A58B8"/>
    <w:rsid w:val="005A61F1"/>
    <w:rsid w:val="005A766A"/>
    <w:rsid w:val="005B2602"/>
    <w:rsid w:val="005B57D5"/>
    <w:rsid w:val="005B5CA0"/>
    <w:rsid w:val="005C0BF8"/>
    <w:rsid w:val="005C2338"/>
    <w:rsid w:val="005C3875"/>
    <w:rsid w:val="005C3BB0"/>
    <w:rsid w:val="005C5E44"/>
    <w:rsid w:val="005C7600"/>
    <w:rsid w:val="005D458C"/>
    <w:rsid w:val="005D55F0"/>
    <w:rsid w:val="005D6066"/>
    <w:rsid w:val="005E1003"/>
    <w:rsid w:val="005E23B0"/>
    <w:rsid w:val="005E3991"/>
    <w:rsid w:val="005E5E68"/>
    <w:rsid w:val="005E6B3B"/>
    <w:rsid w:val="005F1EB5"/>
    <w:rsid w:val="005F7979"/>
    <w:rsid w:val="0060052A"/>
    <w:rsid w:val="00601BDF"/>
    <w:rsid w:val="00602573"/>
    <w:rsid w:val="00604378"/>
    <w:rsid w:val="006130CC"/>
    <w:rsid w:val="00613601"/>
    <w:rsid w:val="00614603"/>
    <w:rsid w:val="00617051"/>
    <w:rsid w:val="00626260"/>
    <w:rsid w:val="00627AE8"/>
    <w:rsid w:val="00627D26"/>
    <w:rsid w:val="006369BB"/>
    <w:rsid w:val="00643195"/>
    <w:rsid w:val="006451DD"/>
    <w:rsid w:val="00650AC3"/>
    <w:rsid w:val="00653ACB"/>
    <w:rsid w:val="00657EBB"/>
    <w:rsid w:val="0066211B"/>
    <w:rsid w:val="00662777"/>
    <w:rsid w:val="0066291D"/>
    <w:rsid w:val="00663179"/>
    <w:rsid w:val="00666947"/>
    <w:rsid w:val="00676C1F"/>
    <w:rsid w:val="006814F7"/>
    <w:rsid w:val="00684B61"/>
    <w:rsid w:val="00690B33"/>
    <w:rsid w:val="00693D5B"/>
    <w:rsid w:val="006A400D"/>
    <w:rsid w:val="006A47E4"/>
    <w:rsid w:val="006B0238"/>
    <w:rsid w:val="006B05F5"/>
    <w:rsid w:val="006B3F41"/>
    <w:rsid w:val="006B43BE"/>
    <w:rsid w:val="006B69B0"/>
    <w:rsid w:val="006C3A15"/>
    <w:rsid w:val="006C4591"/>
    <w:rsid w:val="006C47B1"/>
    <w:rsid w:val="006D114B"/>
    <w:rsid w:val="006D6C25"/>
    <w:rsid w:val="006D7344"/>
    <w:rsid w:val="006E3065"/>
    <w:rsid w:val="006E3716"/>
    <w:rsid w:val="006E3AC7"/>
    <w:rsid w:val="006E622B"/>
    <w:rsid w:val="006F1791"/>
    <w:rsid w:val="006F29BF"/>
    <w:rsid w:val="006F3658"/>
    <w:rsid w:val="006F3C98"/>
    <w:rsid w:val="007025C2"/>
    <w:rsid w:val="00703DB8"/>
    <w:rsid w:val="00705609"/>
    <w:rsid w:val="00705D5C"/>
    <w:rsid w:val="00715931"/>
    <w:rsid w:val="0071734C"/>
    <w:rsid w:val="00720A35"/>
    <w:rsid w:val="0072600C"/>
    <w:rsid w:val="007312DE"/>
    <w:rsid w:val="0074240C"/>
    <w:rsid w:val="00742ED5"/>
    <w:rsid w:val="007453CA"/>
    <w:rsid w:val="0075076B"/>
    <w:rsid w:val="00764B42"/>
    <w:rsid w:val="00765461"/>
    <w:rsid w:val="00767097"/>
    <w:rsid w:val="00770694"/>
    <w:rsid w:val="00774746"/>
    <w:rsid w:val="00774FB1"/>
    <w:rsid w:val="00775EC5"/>
    <w:rsid w:val="007834AE"/>
    <w:rsid w:val="00785145"/>
    <w:rsid w:val="00786AEF"/>
    <w:rsid w:val="00790109"/>
    <w:rsid w:val="0079082F"/>
    <w:rsid w:val="0079201C"/>
    <w:rsid w:val="00792585"/>
    <w:rsid w:val="00797113"/>
    <w:rsid w:val="007A4F0A"/>
    <w:rsid w:val="007B16F4"/>
    <w:rsid w:val="007B1AF7"/>
    <w:rsid w:val="007B3BA5"/>
    <w:rsid w:val="007B5CDD"/>
    <w:rsid w:val="007B5E49"/>
    <w:rsid w:val="007C01E6"/>
    <w:rsid w:val="007C1D52"/>
    <w:rsid w:val="007C2D52"/>
    <w:rsid w:val="007C3B59"/>
    <w:rsid w:val="007C4428"/>
    <w:rsid w:val="007C60EA"/>
    <w:rsid w:val="007C7A7B"/>
    <w:rsid w:val="007D22D1"/>
    <w:rsid w:val="007D3C3A"/>
    <w:rsid w:val="007D47F0"/>
    <w:rsid w:val="007D490A"/>
    <w:rsid w:val="007D6E63"/>
    <w:rsid w:val="007E1289"/>
    <w:rsid w:val="007E6015"/>
    <w:rsid w:val="007E617F"/>
    <w:rsid w:val="007F6E88"/>
    <w:rsid w:val="0080449B"/>
    <w:rsid w:val="00804702"/>
    <w:rsid w:val="0082057B"/>
    <w:rsid w:val="008220AC"/>
    <w:rsid w:val="008239F5"/>
    <w:rsid w:val="00824821"/>
    <w:rsid w:val="0083667A"/>
    <w:rsid w:val="00841F27"/>
    <w:rsid w:val="008420C5"/>
    <w:rsid w:val="00844DD7"/>
    <w:rsid w:val="00856C9D"/>
    <w:rsid w:val="008611AC"/>
    <w:rsid w:val="00862E81"/>
    <w:rsid w:val="00864994"/>
    <w:rsid w:val="00866245"/>
    <w:rsid w:val="00871F86"/>
    <w:rsid w:val="0087514D"/>
    <w:rsid w:val="00875622"/>
    <w:rsid w:val="0088176E"/>
    <w:rsid w:val="008854B9"/>
    <w:rsid w:val="008854D3"/>
    <w:rsid w:val="00891793"/>
    <w:rsid w:val="00891EDC"/>
    <w:rsid w:val="00895362"/>
    <w:rsid w:val="00895A76"/>
    <w:rsid w:val="008979D5"/>
    <w:rsid w:val="008A54A5"/>
    <w:rsid w:val="008A6B61"/>
    <w:rsid w:val="008A7359"/>
    <w:rsid w:val="008B4579"/>
    <w:rsid w:val="008B48A5"/>
    <w:rsid w:val="008C31E2"/>
    <w:rsid w:val="008C695F"/>
    <w:rsid w:val="008C704F"/>
    <w:rsid w:val="008D2EFC"/>
    <w:rsid w:val="008D3327"/>
    <w:rsid w:val="008D42E5"/>
    <w:rsid w:val="008D5500"/>
    <w:rsid w:val="008D6E31"/>
    <w:rsid w:val="008E2069"/>
    <w:rsid w:val="008E222B"/>
    <w:rsid w:val="008E3016"/>
    <w:rsid w:val="008E7A9B"/>
    <w:rsid w:val="008F1BA1"/>
    <w:rsid w:val="009007B1"/>
    <w:rsid w:val="009073CF"/>
    <w:rsid w:val="009171C5"/>
    <w:rsid w:val="009239CD"/>
    <w:rsid w:val="00926D09"/>
    <w:rsid w:val="009306E3"/>
    <w:rsid w:val="00935D91"/>
    <w:rsid w:val="0094555A"/>
    <w:rsid w:val="00946526"/>
    <w:rsid w:val="00952CF4"/>
    <w:rsid w:val="009533DE"/>
    <w:rsid w:val="009546B2"/>
    <w:rsid w:val="00960274"/>
    <w:rsid w:val="00960499"/>
    <w:rsid w:val="00964461"/>
    <w:rsid w:val="00970F5F"/>
    <w:rsid w:val="009711DF"/>
    <w:rsid w:val="00972125"/>
    <w:rsid w:val="0097331B"/>
    <w:rsid w:val="00980BDB"/>
    <w:rsid w:val="00981CB4"/>
    <w:rsid w:val="00982932"/>
    <w:rsid w:val="00983FDF"/>
    <w:rsid w:val="0098454E"/>
    <w:rsid w:val="00987648"/>
    <w:rsid w:val="0099190E"/>
    <w:rsid w:val="00995649"/>
    <w:rsid w:val="00995A57"/>
    <w:rsid w:val="009A20BD"/>
    <w:rsid w:val="009A7A10"/>
    <w:rsid w:val="009B6EF9"/>
    <w:rsid w:val="009C0CF5"/>
    <w:rsid w:val="009C443E"/>
    <w:rsid w:val="009C5293"/>
    <w:rsid w:val="009C69B1"/>
    <w:rsid w:val="009D149F"/>
    <w:rsid w:val="009E0AF7"/>
    <w:rsid w:val="009E0EA6"/>
    <w:rsid w:val="009E192E"/>
    <w:rsid w:val="009E3841"/>
    <w:rsid w:val="009E540F"/>
    <w:rsid w:val="009E6DA4"/>
    <w:rsid w:val="009E7563"/>
    <w:rsid w:val="009F05F2"/>
    <w:rsid w:val="009F61AC"/>
    <w:rsid w:val="009F62AC"/>
    <w:rsid w:val="00A01245"/>
    <w:rsid w:val="00A0291E"/>
    <w:rsid w:val="00A03BA2"/>
    <w:rsid w:val="00A04704"/>
    <w:rsid w:val="00A05FEE"/>
    <w:rsid w:val="00A079F9"/>
    <w:rsid w:val="00A07E03"/>
    <w:rsid w:val="00A14411"/>
    <w:rsid w:val="00A167F6"/>
    <w:rsid w:val="00A228F5"/>
    <w:rsid w:val="00A23718"/>
    <w:rsid w:val="00A2411D"/>
    <w:rsid w:val="00A31B6A"/>
    <w:rsid w:val="00A41BEF"/>
    <w:rsid w:val="00A432BA"/>
    <w:rsid w:val="00A4694B"/>
    <w:rsid w:val="00A46BAB"/>
    <w:rsid w:val="00A47303"/>
    <w:rsid w:val="00A50A87"/>
    <w:rsid w:val="00A5115F"/>
    <w:rsid w:val="00A52D5A"/>
    <w:rsid w:val="00A55634"/>
    <w:rsid w:val="00A6305B"/>
    <w:rsid w:val="00A644A0"/>
    <w:rsid w:val="00A64B9B"/>
    <w:rsid w:val="00A67816"/>
    <w:rsid w:val="00A679FD"/>
    <w:rsid w:val="00A71A83"/>
    <w:rsid w:val="00A71B64"/>
    <w:rsid w:val="00A74574"/>
    <w:rsid w:val="00A80CDF"/>
    <w:rsid w:val="00A81079"/>
    <w:rsid w:val="00A82386"/>
    <w:rsid w:val="00A843D0"/>
    <w:rsid w:val="00A8469E"/>
    <w:rsid w:val="00A875AE"/>
    <w:rsid w:val="00A95A53"/>
    <w:rsid w:val="00A95D69"/>
    <w:rsid w:val="00A960A0"/>
    <w:rsid w:val="00A971C5"/>
    <w:rsid w:val="00AA2D8A"/>
    <w:rsid w:val="00AA4DED"/>
    <w:rsid w:val="00AA64EB"/>
    <w:rsid w:val="00AB0E75"/>
    <w:rsid w:val="00AB6070"/>
    <w:rsid w:val="00AB7109"/>
    <w:rsid w:val="00AC0F55"/>
    <w:rsid w:val="00AC3D6F"/>
    <w:rsid w:val="00AC44D8"/>
    <w:rsid w:val="00AD245B"/>
    <w:rsid w:val="00AD3FAB"/>
    <w:rsid w:val="00AD6515"/>
    <w:rsid w:val="00AE1AF8"/>
    <w:rsid w:val="00AF1060"/>
    <w:rsid w:val="00AF2052"/>
    <w:rsid w:val="00AF2791"/>
    <w:rsid w:val="00AF60B7"/>
    <w:rsid w:val="00B03C05"/>
    <w:rsid w:val="00B12411"/>
    <w:rsid w:val="00B14925"/>
    <w:rsid w:val="00B1570B"/>
    <w:rsid w:val="00B20A7A"/>
    <w:rsid w:val="00B32964"/>
    <w:rsid w:val="00B33450"/>
    <w:rsid w:val="00B3523D"/>
    <w:rsid w:val="00B402B3"/>
    <w:rsid w:val="00B41E37"/>
    <w:rsid w:val="00B42E30"/>
    <w:rsid w:val="00B50B4C"/>
    <w:rsid w:val="00B53E25"/>
    <w:rsid w:val="00B60C3C"/>
    <w:rsid w:val="00B6464E"/>
    <w:rsid w:val="00B64E25"/>
    <w:rsid w:val="00B667D6"/>
    <w:rsid w:val="00B70499"/>
    <w:rsid w:val="00B72C03"/>
    <w:rsid w:val="00B753D8"/>
    <w:rsid w:val="00B775E2"/>
    <w:rsid w:val="00B776E0"/>
    <w:rsid w:val="00B80879"/>
    <w:rsid w:val="00B80C31"/>
    <w:rsid w:val="00B82E9D"/>
    <w:rsid w:val="00B83526"/>
    <w:rsid w:val="00B85A52"/>
    <w:rsid w:val="00BA671C"/>
    <w:rsid w:val="00BA7015"/>
    <w:rsid w:val="00BB089E"/>
    <w:rsid w:val="00BB5CF4"/>
    <w:rsid w:val="00BB724A"/>
    <w:rsid w:val="00BC1398"/>
    <w:rsid w:val="00BC1964"/>
    <w:rsid w:val="00BC48C5"/>
    <w:rsid w:val="00BC5594"/>
    <w:rsid w:val="00BC76E2"/>
    <w:rsid w:val="00BD0278"/>
    <w:rsid w:val="00BD6BB1"/>
    <w:rsid w:val="00BE00F7"/>
    <w:rsid w:val="00BE05F3"/>
    <w:rsid w:val="00BE0BEB"/>
    <w:rsid w:val="00BE4280"/>
    <w:rsid w:val="00BF072B"/>
    <w:rsid w:val="00BF4D9A"/>
    <w:rsid w:val="00BF4E96"/>
    <w:rsid w:val="00BF58A1"/>
    <w:rsid w:val="00BF68A4"/>
    <w:rsid w:val="00C02292"/>
    <w:rsid w:val="00C02C15"/>
    <w:rsid w:val="00C06F45"/>
    <w:rsid w:val="00C11ED7"/>
    <w:rsid w:val="00C12A6B"/>
    <w:rsid w:val="00C12C92"/>
    <w:rsid w:val="00C37C00"/>
    <w:rsid w:val="00C40EDD"/>
    <w:rsid w:val="00C603AD"/>
    <w:rsid w:val="00C61C8F"/>
    <w:rsid w:val="00C647B5"/>
    <w:rsid w:val="00C66F83"/>
    <w:rsid w:val="00C70497"/>
    <w:rsid w:val="00C760D5"/>
    <w:rsid w:val="00C77134"/>
    <w:rsid w:val="00C905A1"/>
    <w:rsid w:val="00CA1018"/>
    <w:rsid w:val="00CA1246"/>
    <w:rsid w:val="00CA1BF9"/>
    <w:rsid w:val="00CA608E"/>
    <w:rsid w:val="00CB0F4B"/>
    <w:rsid w:val="00CB167B"/>
    <w:rsid w:val="00CB4C1D"/>
    <w:rsid w:val="00CB518C"/>
    <w:rsid w:val="00CB53B4"/>
    <w:rsid w:val="00CC7200"/>
    <w:rsid w:val="00CD0D7E"/>
    <w:rsid w:val="00CD1F0F"/>
    <w:rsid w:val="00CD2632"/>
    <w:rsid w:val="00CD47D2"/>
    <w:rsid w:val="00CD5F8B"/>
    <w:rsid w:val="00CD676F"/>
    <w:rsid w:val="00CD72B7"/>
    <w:rsid w:val="00CE0149"/>
    <w:rsid w:val="00CE67BF"/>
    <w:rsid w:val="00CF3367"/>
    <w:rsid w:val="00CF4F47"/>
    <w:rsid w:val="00D02961"/>
    <w:rsid w:val="00D02A2E"/>
    <w:rsid w:val="00D15596"/>
    <w:rsid w:val="00D158F7"/>
    <w:rsid w:val="00D163AB"/>
    <w:rsid w:val="00D219F8"/>
    <w:rsid w:val="00D21C8D"/>
    <w:rsid w:val="00D23431"/>
    <w:rsid w:val="00D24EDB"/>
    <w:rsid w:val="00D26AF5"/>
    <w:rsid w:val="00D300C6"/>
    <w:rsid w:val="00D37EDA"/>
    <w:rsid w:val="00D4016B"/>
    <w:rsid w:val="00D41D1C"/>
    <w:rsid w:val="00D4275B"/>
    <w:rsid w:val="00D529BA"/>
    <w:rsid w:val="00D52B0B"/>
    <w:rsid w:val="00D542F8"/>
    <w:rsid w:val="00D55819"/>
    <w:rsid w:val="00D56AE7"/>
    <w:rsid w:val="00D602A1"/>
    <w:rsid w:val="00D62052"/>
    <w:rsid w:val="00D635FE"/>
    <w:rsid w:val="00D71030"/>
    <w:rsid w:val="00D733D6"/>
    <w:rsid w:val="00D76335"/>
    <w:rsid w:val="00D80F11"/>
    <w:rsid w:val="00D81D6C"/>
    <w:rsid w:val="00D83041"/>
    <w:rsid w:val="00D8701C"/>
    <w:rsid w:val="00D87CBC"/>
    <w:rsid w:val="00D9027D"/>
    <w:rsid w:val="00D91364"/>
    <w:rsid w:val="00D92774"/>
    <w:rsid w:val="00D95EFC"/>
    <w:rsid w:val="00D9740A"/>
    <w:rsid w:val="00DB0EB0"/>
    <w:rsid w:val="00DB333D"/>
    <w:rsid w:val="00DB5396"/>
    <w:rsid w:val="00DC0A63"/>
    <w:rsid w:val="00DC4070"/>
    <w:rsid w:val="00DC7157"/>
    <w:rsid w:val="00DD1B54"/>
    <w:rsid w:val="00DD248C"/>
    <w:rsid w:val="00DD486B"/>
    <w:rsid w:val="00DE22DF"/>
    <w:rsid w:val="00DE70BD"/>
    <w:rsid w:val="00DF20D2"/>
    <w:rsid w:val="00DF2C7D"/>
    <w:rsid w:val="00DF3459"/>
    <w:rsid w:val="00DF41AE"/>
    <w:rsid w:val="00DF530B"/>
    <w:rsid w:val="00DF679D"/>
    <w:rsid w:val="00DF7FBD"/>
    <w:rsid w:val="00E04451"/>
    <w:rsid w:val="00E045DC"/>
    <w:rsid w:val="00E11022"/>
    <w:rsid w:val="00E142DC"/>
    <w:rsid w:val="00E14457"/>
    <w:rsid w:val="00E1450F"/>
    <w:rsid w:val="00E158A5"/>
    <w:rsid w:val="00E15EE3"/>
    <w:rsid w:val="00E17C89"/>
    <w:rsid w:val="00E22A15"/>
    <w:rsid w:val="00E23BFD"/>
    <w:rsid w:val="00E25459"/>
    <w:rsid w:val="00E254AB"/>
    <w:rsid w:val="00E2602C"/>
    <w:rsid w:val="00E26C79"/>
    <w:rsid w:val="00E31829"/>
    <w:rsid w:val="00E33120"/>
    <w:rsid w:val="00E3317B"/>
    <w:rsid w:val="00E40AAF"/>
    <w:rsid w:val="00E40F00"/>
    <w:rsid w:val="00E415CA"/>
    <w:rsid w:val="00E51912"/>
    <w:rsid w:val="00E51F15"/>
    <w:rsid w:val="00E52FB2"/>
    <w:rsid w:val="00E57CC7"/>
    <w:rsid w:val="00E70796"/>
    <w:rsid w:val="00E74916"/>
    <w:rsid w:val="00E74B3D"/>
    <w:rsid w:val="00E85D02"/>
    <w:rsid w:val="00E86E78"/>
    <w:rsid w:val="00E9377A"/>
    <w:rsid w:val="00E956F9"/>
    <w:rsid w:val="00E96758"/>
    <w:rsid w:val="00E9701B"/>
    <w:rsid w:val="00EA2EE3"/>
    <w:rsid w:val="00EA63C1"/>
    <w:rsid w:val="00EB08DA"/>
    <w:rsid w:val="00EB0DE7"/>
    <w:rsid w:val="00EB1C1F"/>
    <w:rsid w:val="00EB4172"/>
    <w:rsid w:val="00EC3E13"/>
    <w:rsid w:val="00EC5071"/>
    <w:rsid w:val="00ED119F"/>
    <w:rsid w:val="00ED435B"/>
    <w:rsid w:val="00ED4493"/>
    <w:rsid w:val="00ED4D78"/>
    <w:rsid w:val="00ED5E20"/>
    <w:rsid w:val="00EE09AF"/>
    <w:rsid w:val="00EE2EF8"/>
    <w:rsid w:val="00EE439B"/>
    <w:rsid w:val="00EE5103"/>
    <w:rsid w:val="00EE59E5"/>
    <w:rsid w:val="00EE7AC2"/>
    <w:rsid w:val="00EF0934"/>
    <w:rsid w:val="00EF23A2"/>
    <w:rsid w:val="00F00E79"/>
    <w:rsid w:val="00F015C1"/>
    <w:rsid w:val="00F0255F"/>
    <w:rsid w:val="00F054BB"/>
    <w:rsid w:val="00F125B2"/>
    <w:rsid w:val="00F15053"/>
    <w:rsid w:val="00F16D67"/>
    <w:rsid w:val="00F227FE"/>
    <w:rsid w:val="00F230F9"/>
    <w:rsid w:val="00F24873"/>
    <w:rsid w:val="00F31587"/>
    <w:rsid w:val="00F31EF8"/>
    <w:rsid w:val="00F32059"/>
    <w:rsid w:val="00F33256"/>
    <w:rsid w:val="00F34170"/>
    <w:rsid w:val="00F360A0"/>
    <w:rsid w:val="00F40DAE"/>
    <w:rsid w:val="00F424EA"/>
    <w:rsid w:val="00F42BA2"/>
    <w:rsid w:val="00F4557C"/>
    <w:rsid w:val="00F527F3"/>
    <w:rsid w:val="00F53761"/>
    <w:rsid w:val="00F71C4F"/>
    <w:rsid w:val="00F72C52"/>
    <w:rsid w:val="00F72F6E"/>
    <w:rsid w:val="00F91356"/>
    <w:rsid w:val="00F94A56"/>
    <w:rsid w:val="00FA5ADB"/>
    <w:rsid w:val="00FB2801"/>
    <w:rsid w:val="00FB4BD3"/>
    <w:rsid w:val="00FB622A"/>
    <w:rsid w:val="00FC1257"/>
    <w:rsid w:val="00FC5086"/>
    <w:rsid w:val="00FC637C"/>
    <w:rsid w:val="00FD5362"/>
    <w:rsid w:val="00FD6027"/>
    <w:rsid w:val="00FE1114"/>
    <w:rsid w:val="00FE1213"/>
    <w:rsid w:val="00FE3F4C"/>
    <w:rsid w:val="00FE6B0F"/>
    <w:rsid w:val="00FF021F"/>
    <w:rsid w:val="00FF309C"/>
    <w:rsid w:val="00FF38F6"/>
    <w:rsid w:val="00FF5AF8"/>
    <w:rsid w:val="12729D81"/>
    <w:rsid w:val="5D43C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DB423"/>
  <w15:docId w15:val="{D8F8384C-2ADD-448F-A744-7501CA699F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uiPriority="99"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rd" w:default="1">
    <w:name w:val="Normal"/>
    <w:qFormat/>
    <w:rsid w:val="00981CB4"/>
    <w:rPr>
      <w:rFonts w:ascii="Arial" w:hAnsi="Arial"/>
      <w:szCs w:val="24"/>
      <w:lang w:eastAsia="en-US"/>
    </w:rPr>
  </w:style>
  <w:style w:type="paragraph" w:styleId="berschrift1">
    <w:name w:val="heading 1"/>
    <w:aliases w:val="TG 1"/>
    <w:basedOn w:val="Standard"/>
    <w:next w:val="berschrift2"/>
    <w:link w:val="berschrift1Zchn"/>
    <w:autoRedefine/>
    <w:qFormat/>
    <w:rsid w:val="0098454E"/>
    <w:pPr>
      <w:spacing w:before="240" w:after="120"/>
      <w:outlineLvl w:val="0"/>
    </w:pPr>
    <w:rPr>
      <w:rFonts w:ascii="Cambria" w:hAnsi="Cambria"/>
      <w:b/>
      <w:bCs/>
      <w:kern w:val="32"/>
      <w:sz w:val="32"/>
      <w:szCs w:val="32"/>
      <w:lang w:val="x-none"/>
    </w:rPr>
  </w:style>
  <w:style w:type="paragraph" w:styleId="berschrift2">
    <w:name w:val="heading 2"/>
    <w:aliases w:val="TG 2"/>
    <w:basedOn w:val="Standard"/>
    <w:next w:val="berschrift3"/>
    <w:link w:val="berschrift2Zchn"/>
    <w:autoRedefine/>
    <w:qFormat/>
    <w:rsid w:val="0098454E"/>
    <w:pPr>
      <w:spacing w:before="240" w:after="120"/>
      <w:jc w:val="both"/>
      <w:outlineLvl w:val="1"/>
    </w:pPr>
    <w:rPr>
      <w:rFonts w:ascii="Cambria" w:hAnsi="Cambria"/>
      <w:b/>
      <w:bCs/>
      <w:i/>
      <w:iCs/>
      <w:sz w:val="28"/>
      <w:szCs w:val="28"/>
      <w:lang w:val="x-none"/>
    </w:rPr>
  </w:style>
  <w:style w:type="paragraph" w:styleId="berschrift3">
    <w:name w:val="heading 3"/>
    <w:aliases w:val="TG 3"/>
    <w:basedOn w:val="Standard"/>
    <w:next w:val="Standard"/>
    <w:link w:val="berschrift3Zchn"/>
    <w:qFormat/>
    <w:rsid w:val="0098454E"/>
    <w:pPr>
      <w:keepNext/>
      <w:spacing w:before="240" w:after="60"/>
      <w:outlineLvl w:val="2"/>
    </w:pPr>
    <w:rPr>
      <w:rFonts w:ascii="Cambria" w:hAnsi="Cambria"/>
      <w:b/>
      <w:bCs/>
      <w:sz w:val="26"/>
      <w:szCs w:val="26"/>
      <w:lang w:val="x-none"/>
    </w:rPr>
  </w:style>
  <w:style w:type="paragraph" w:styleId="berschrift4">
    <w:name w:val="heading 4"/>
    <w:aliases w:val="TG 4,Título INDICE,h4,4,H4,bullet,bl,bb,First Subheading,dash,Ref Heading 1,rh1,Heading sql,(Shift Ctrl 4),Titre 41,t4.T4,NCX-Title 4,4heading,H4-Heading 4,a.,Heading4,Heading Four,l4,h41,H41,41,H4-Heading 41,a.1,Heading41"/>
    <w:basedOn w:val="Standard"/>
    <w:next w:val="Standard"/>
    <w:link w:val="berschrift4Zchn"/>
    <w:autoRedefine/>
    <w:qFormat/>
    <w:rsid w:val="0098454E"/>
    <w:pPr>
      <w:numPr>
        <w:numId w:val="22"/>
      </w:numPr>
      <w:spacing w:before="60" w:after="120"/>
      <w:outlineLvl w:val="3"/>
    </w:pPr>
    <w:rPr>
      <w:bCs/>
      <w:sz w:val="22"/>
      <w:szCs w:val="28"/>
      <w:lang w:val="en-GB" w:eastAsia="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aliases w:val="TG 1 Zchn"/>
    <w:link w:val="berschrift1"/>
    <w:locked/>
    <w:rsid w:val="00355D62"/>
    <w:rPr>
      <w:rFonts w:ascii="Cambria" w:hAnsi="Cambria" w:cs="Times New Roman"/>
      <w:b/>
      <w:bCs/>
      <w:kern w:val="32"/>
      <w:sz w:val="32"/>
      <w:szCs w:val="32"/>
      <w:lang w:val="x-none" w:eastAsia="en-US"/>
    </w:rPr>
  </w:style>
  <w:style w:type="character" w:styleId="berschrift2Zchn" w:customStyle="1">
    <w:name w:val="Überschrift 2 Zchn"/>
    <w:aliases w:val="TG 2 Zchn"/>
    <w:link w:val="berschrift2"/>
    <w:semiHidden/>
    <w:locked/>
    <w:rsid w:val="00355D62"/>
    <w:rPr>
      <w:rFonts w:ascii="Cambria" w:hAnsi="Cambria" w:cs="Times New Roman"/>
      <w:b/>
      <w:bCs/>
      <w:i/>
      <w:iCs/>
      <w:sz w:val="28"/>
      <w:szCs w:val="28"/>
      <w:lang w:val="x-none" w:eastAsia="en-US"/>
    </w:rPr>
  </w:style>
  <w:style w:type="character" w:styleId="berschrift3Zchn" w:customStyle="1">
    <w:name w:val="Überschrift 3 Zchn"/>
    <w:aliases w:val="TG 3 Zchn"/>
    <w:link w:val="berschrift3"/>
    <w:semiHidden/>
    <w:locked/>
    <w:rsid w:val="00355D62"/>
    <w:rPr>
      <w:rFonts w:ascii="Cambria" w:hAnsi="Cambria" w:cs="Times New Roman"/>
      <w:b/>
      <w:bCs/>
      <w:sz w:val="26"/>
      <w:szCs w:val="26"/>
      <w:lang w:val="x-none" w:eastAsia="en-US"/>
    </w:rPr>
  </w:style>
  <w:style w:type="character" w:styleId="berschrift4Zchn" w:customStyle="1">
    <w:name w:val="Überschrift 4 Zchn"/>
    <w:aliases w:val="TG 4 Zchn,Título INDICE Zchn,h4 Zchn,4 Zchn,H4 Zchn,bullet Zchn,bl Zchn,bb Zchn,First Subheading Zchn,dash Zchn,Ref Heading 1 Zchn,rh1 Zchn,Heading sql Zchn,(Shift Ctrl 4) Zchn,Titre 41 Zchn,t4.T4 Zchn,NCX-Title 4 Zchn,4heading Zchn"/>
    <w:link w:val="berschrift4"/>
    <w:locked/>
    <w:rsid w:val="00355D62"/>
    <w:rPr>
      <w:rFonts w:ascii="Arial" w:hAnsi="Arial"/>
      <w:bCs/>
      <w:sz w:val="22"/>
      <w:szCs w:val="28"/>
      <w:lang w:val="en-GB" w:eastAsia="de-DE" w:bidi="ar-SA"/>
    </w:rPr>
  </w:style>
  <w:style w:type="paragraph" w:styleId="numberedheading" w:customStyle="1">
    <w:name w:val="numbered heading"/>
    <w:basedOn w:val="berschrift3"/>
    <w:next w:val="Textindent1"/>
    <w:rsid w:val="0098454E"/>
    <w:pPr>
      <w:numPr>
        <w:numId w:val="14"/>
      </w:numPr>
      <w:spacing w:after="120"/>
      <w:contextualSpacing/>
    </w:pPr>
  </w:style>
  <w:style w:type="paragraph" w:styleId="Textindent1" w:customStyle="1">
    <w:name w:val="Text indent 1"/>
    <w:basedOn w:val="Standard"/>
    <w:rsid w:val="0098454E"/>
    <w:pPr>
      <w:spacing w:after="120"/>
      <w:ind w:left="720"/>
    </w:pPr>
  </w:style>
  <w:style w:type="paragraph" w:styleId="StyleTextindent1Bold" w:customStyle="1">
    <w:name w:val="Style Text indent 1 + Bold"/>
    <w:basedOn w:val="Textindent1"/>
    <w:rsid w:val="0098454E"/>
    <w:pPr>
      <w:spacing w:before="120"/>
    </w:pPr>
    <w:rPr>
      <w:b/>
      <w:bCs/>
    </w:rPr>
  </w:style>
  <w:style w:type="paragraph" w:styleId="Listindent1" w:customStyle="1">
    <w:name w:val="List indent 1"/>
    <w:basedOn w:val="Textindent1"/>
    <w:rsid w:val="0098454E"/>
    <w:pPr>
      <w:numPr>
        <w:numId w:val="15"/>
      </w:numPr>
    </w:pPr>
  </w:style>
  <w:style w:type="paragraph" w:styleId="numberedheading2" w:customStyle="1">
    <w:name w:val="numbered heading 2"/>
    <w:basedOn w:val="berschrift3"/>
    <w:next w:val="Textindent2"/>
    <w:rsid w:val="0098454E"/>
    <w:pPr>
      <w:numPr>
        <w:ilvl w:val="1"/>
        <w:numId w:val="14"/>
      </w:numPr>
      <w:spacing w:before="120" w:after="120"/>
      <w:contextualSpacing/>
    </w:pPr>
    <w:rPr>
      <w:b w:val="0"/>
      <w:sz w:val="24"/>
    </w:rPr>
  </w:style>
  <w:style w:type="paragraph" w:styleId="numberedheading3" w:customStyle="1">
    <w:name w:val="numbered heading 3"/>
    <w:basedOn w:val="numberedheading2"/>
    <w:rsid w:val="0098454E"/>
    <w:pPr>
      <w:numPr>
        <w:ilvl w:val="2"/>
        <w:numId w:val="13"/>
      </w:numPr>
    </w:pPr>
    <w:rPr>
      <w:rFonts w:ascii="Times New Roman" w:hAnsi="Times New Roman"/>
    </w:rPr>
  </w:style>
  <w:style w:type="paragraph" w:styleId="Textindent2" w:customStyle="1">
    <w:name w:val="Text indent 2"/>
    <w:basedOn w:val="Textindent1"/>
    <w:rsid w:val="0098454E"/>
    <w:pPr>
      <w:ind w:left="1134"/>
    </w:pPr>
  </w:style>
  <w:style w:type="paragraph" w:styleId="Textindent3" w:customStyle="1">
    <w:name w:val="Text indent 3"/>
    <w:basedOn w:val="Textindent2"/>
    <w:rsid w:val="0098454E"/>
    <w:pPr>
      <w:ind w:left="1814"/>
    </w:pPr>
  </w:style>
  <w:style w:type="paragraph" w:styleId="Listindent2" w:customStyle="1">
    <w:name w:val="List indent 2"/>
    <w:basedOn w:val="Listindent1"/>
    <w:rsid w:val="0098454E"/>
    <w:pPr>
      <w:numPr>
        <w:numId w:val="0"/>
      </w:numPr>
    </w:pPr>
  </w:style>
  <w:style w:type="paragraph" w:styleId="Listindent3" w:customStyle="1">
    <w:name w:val="List indent 3"/>
    <w:basedOn w:val="Listindent2"/>
    <w:rsid w:val="0098454E"/>
  </w:style>
  <w:style w:type="paragraph" w:styleId="List1-" w:customStyle="1">
    <w:name w:val="List 1 -"/>
    <w:basedOn w:val="Listindent1"/>
    <w:rsid w:val="0098454E"/>
    <w:pPr>
      <w:keepLines/>
      <w:numPr>
        <w:numId w:val="0"/>
      </w:numPr>
    </w:pPr>
    <w:rPr>
      <w:lang w:val="en-GB"/>
    </w:rPr>
  </w:style>
  <w:style w:type="paragraph" w:styleId="Text1" w:customStyle="1">
    <w:name w:val="Text 1"/>
    <w:basedOn w:val="Textindent1"/>
    <w:rsid w:val="0098454E"/>
    <w:pPr>
      <w:spacing w:before="120"/>
      <w:ind w:left="0"/>
    </w:pPr>
    <w:rPr>
      <w:lang w:val="en-GB"/>
    </w:rPr>
  </w:style>
  <w:style w:type="paragraph" w:styleId="Verzeichnis1">
    <w:name w:val="toc 1"/>
    <w:basedOn w:val="Standard"/>
    <w:next w:val="Body"/>
    <w:uiPriority w:val="39"/>
    <w:rsid w:val="0098454E"/>
    <w:pPr>
      <w:spacing w:before="280" w:after="140" w:line="290" w:lineRule="auto"/>
      <w:ind w:left="567" w:hanging="567"/>
    </w:pPr>
    <w:rPr>
      <w:kern w:val="20"/>
    </w:rPr>
  </w:style>
  <w:style w:type="paragraph" w:styleId="Body" w:customStyle="1">
    <w:name w:val="Body"/>
    <w:basedOn w:val="Standard"/>
    <w:link w:val="BodyChar"/>
    <w:rsid w:val="0098454E"/>
    <w:pPr>
      <w:spacing w:after="140" w:line="290" w:lineRule="auto"/>
      <w:jc w:val="both"/>
    </w:pPr>
    <w:rPr>
      <w:kern w:val="20"/>
      <w:sz w:val="24"/>
    </w:rPr>
  </w:style>
  <w:style w:type="paragraph" w:styleId="Body1" w:customStyle="1">
    <w:name w:val="Body 1"/>
    <w:basedOn w:val="Standard"/>
    <w:rsid w:val="0098454E"/>
    <w:pPr>
      <w:spacing w:after="140" w:line="290" w:lineRule="auto"/>
      <w:ind w:left="680"/>
      <w:jc w:val="both"/>
    </w:pPr>
    <w:rPr>
      <w:kern w:val="20"/>
    </w:rPr>
  </w:style>
  <w:style w:type="paragraph" w:styleId="Body2" w:customStyle="1">
    <w:name w:val="Body 2"/>
    <w:basedOn w:val="Standard"/>
    <w:rsid w:val="0098454E"/>
    <w:pPr>
      <w:spacing w:after="140" w:line="290" w:lineRule="auto"/>
      <w:ind w:left="680"/>
      <w:jc w:val="both"/>
    </w:pPr>
    <w:rPr>
      <w:kern w:val="20"/>
    </w:rPr>
  </w:style>
  <w:style w:type="paragraph" w:styleId="Level1" w:customStyle="1">
    <w:name w:val="Level 1"/>
    <w:basedOn w:val="Standard"/>
    <w:next w:val="Body1"/>
    <w:rsid w:val="0098454E"/>
    <w:pPr>
      <w:keepNext/>
      <w:tabs>
        <w:tab w:val="num" w:pos="680"/>
      </w:tabs>
      <w:spacing w:before="280" w:after="140" w:line="290" w:lineRule="auto"/>
      <w:ind w:left="680" w:hanging="680"/>
      <w:jc w:val="both"/>
      <w:outlineLvl w:val="0"/>
    </w:pPr>
    <w:rPr>
      <w:b/>
      <w:kern w:val="20"/>
      <w:sz w:val="22"/>
    </w:rPr>
  </w:style>
  <w:style w:type="paragraph" w:styleId="Level2" w:customStyle="1">
    <w:name w:val="Level 2"/>
    <w:basedOn w:val="Standard"/>
    <w:rsid w:val="0098454E"/>
    <w:pPr>
      <w:tabs>
        <w:tab w:val="num" w:pos="360"/>
      </w:tabs>
      <w:spacing w:after="140" w:line="290" w:lineRule="auto"/>
      <w:ind w:left="360" w:hanging="360"/>
      <w:jc w:val="both"/>
      <w:outlineLvl w:val="1"/>
    </w:pPr>
    <w:rPr>
      <w:kern w:val="20"/>
    </w:rPr>
  </w:style>
  <w:style w:type="paragraph" w:styleId="Level3" w:customStyle="1">
    <w:name w:val="Level 3"/>
    <w:basedOn w:val="Standard"/>
    <w:link w:val="Level3Zchn"/>
    <w:rsid w:val="0098454E"/>
    <w:pPr>
      <w:tabs>
        <w:tab w:val="num" w:pos="1361"/>
      </w:tabs>
      <w:spacing w:after="140" w:line="290" w:lineRule="auto"/>
      <w:ind w:left="1361" w:hanging="681"/>
      <w:jc w:val="both"/>
      <w:outlineLvl w:val="2"/>
    </w:pPr>
    <w:rPr>
      <w:kern w:val="20"/>
      <w:sz w:val="24"/>
      <w:lang w:val="x-none"/>
    </w:rPr>
  </w:style>
  <w:style w:type="paragraph" w:styleId="Level4" w:customStyle="1">
    <w:name w:val="Level 4"/>
    <w:basedOn w:val="Standard"/>
    <w:rsid w:val="0098454E"/>
    <w:pPr>
      <w:tabs>
        <w:tab w:val="num" w:pos="2041"/>
      </w:tabs>
      <w:spacing w:after="140" w:line="290" w:lineRule="auto"/>
      <w:ind w:left="2041" w:hanging="680"/>
      <w:jc w:val="both"/>
      <w:outlineLvl w:val="3"/>
    </w:pPr>
    <w:rPr>
      <w:kern w:val="20"/>
    </w:rPr>
  </w:style>
  <w:style w:type="paragraph" w:styleId="Level5" w:customStyle="1">
    <w:name w:val="Level 5"/>
    <w:basedOn w:val="Standard"/>
    <w:rsid w:val="0098454E"/>
    <w:pPr>
      <w:tabs>
        <w:tab w:val="num" w:pos="2608"/>
      </w:tabs>
      <w:spacing w:after="140" w:line="290" w:lineRule="auto"/>
      <w:ind w:left="2608" w:hanging="567"/>
      <w:jc w:val="both"/>
      <w:outlineLvl w:val="4"/>
    </w:pPr>
    <w:rPr>
      <w:kern w:val="20"/>
    </w:rPr>
  </w:style>
  <w:style w:type="paragraph" w:styleId="Level6" w:customStyle="1">
    <w:name w:val="Level 6"/>
    <w:basedOn w:val="Standard"/>
    <w:rsid w:val="0098454E"/>
    <w:pPr>
      <w:tabs>
        <w:tab w:val="num" w:pos="3288"/>
      </w:tabs>
      <w:spacing w:after="140" w:line="290" w:lineRule="auto"/>
      <w:ind w:left="3288" w:hanging="680"/>
      <w:jc w:val="both"/>
      <w:outlineLvl w:val="5"/>
    </w:pPr>
    <w:rPr>
      <w:kern w:val="20"/>
    </w:rPr>
  </w:style>
  <w:style w:type="paragraph" w:styleId="Parties" w:customStyle="1">
    <w:name w:val="Parties"/>
    <w:basedOn w:val="Standard"/>
    <w:rsid w:val="0098454E"/>
    <w:pPr>
      <w:numPr>
        <w:numId w:val="17"/>
      </w:numPr>
      <w:spacing w:after="140" w:line="290" w:lineRule="auto"/>
      <w:jc w:val="both"/>
    </w:pPr>
    <w:rPr>
      <w:kern w:val="20"/>
    </w:rPr>
  </w:style>
  <w:style w:type="paragraph" w:styleId="Recitals" w:customStyle="1">
    <w:name w:val="Recitals"/>
    <w:basedOn w:val="Standard"/>
    <w:rsid w:val="0098454E"/>
    <w:pPr>
      <w:tabs>
        <w:tab w:val="num" w:pos="680"/>
      </w:tabs>
      <w:spacing w:after="140" w:line="290" w:lineRule="auto"/>
      <w:ind w:left="680" w:hanging="680"/>
      <w:jc w:val="both"/>
    </w:pPr>
    <w:rPr>
      <w:kern w:val="20"/>
    </w:rPr>
  </w:style>
  <w:style w:type="paragraph" w:styleId="DocExCode" w:customStyle="1">
    <w:name w:val="DocExCode"/>
    <w:basedOn w:val="Standard"/>
    <w:rsid w:val="0098454E"/>
    <w:pPr>
      <w:pBdr>
        <w:top w:val="single" w:color="auto" w:sz="4" w:space="1"/>
      </w:pBdr>
    </w:pPr>
    <w:rPr>
      <w:kern w:val="20"/>
      <w:sz w:val="16"/>
    </w:rPr>
  </w:style>
  <w:style w:type="paragraph" w:styleId="Level7" w:customStyle="1">
    <w:name w:val="Level 7"/>
    <w:basedOn w:val="Standard"/>
    <w:rsid w:val="0098454E"/>
    <w:pPr>
      <w:tabs>
        <w:tab w:val="num" w:pos="3288"/>
      </w:tabs>
      <w:spacing w:after="140" w:line="290" w:lineRule="auto"/>
      <w:ind w:left="3288" w:hanging="680"/>
      <w:jc w:val="both"/>
      <w:outlineLvl w:val="6"/>
    </w:pPr>
    <w:rPr>
      <w:kern w:val="20"/>
    </w:rPr>
  </w:style>
  <w:style w:type="paragraph" w:styleId="Level8" w:customStyle="1">
    <w:name w:val="Level 8"/>
    <w:basedOn w:val="Standard"/>
    <w:rsid w:val="0098454E"/>
    <w:pPr>
      <w:tabs>
        <w:tab w:val="num" w:pos="3288"/>
      </w:tabs>
      <w:spacing w:after="140" w:line="290" w:lineRule="auto"/>
      <w:ind w:left="3288" w:hanging="680"/>
      <w:jc w:val="both"/>
      <w:outlineLvl w:val="7"/>
    </w:pPr>
    <w:rPr>
      <w:kern w:val="20"/>
    </w:rPr>
  </w:style>
  <w:style w:type="paragraph" w:styleId="Level9" w:customStyle="1">
    <w:name w:val="Level 9"/>
    <w:basedOn w:val="Standard"/>
    <w:rsid w:val="0098454E"/>
    <w:pPr>
      <w:tabs>
        <w:tab w:val="num" w:pos="3288"/>
      </w:tabs>
      <w:spacing w:after="140" w:line="290" w:lineRule="auto"/>
      <w:ind w:left="3288" w:hanging="680"/>
      <w:jc w:val="both"/>
      <w:outlineLvl w:val="8"/>
    </w:pPr>
    <w:rPr>
      <w:kern w:val="20"/>
    </w:rPr>
  </w:style>
  <w:style w:type="character" w:styleId="Seitenzahl">
    <w:name w:val="page number"/>
    <w:rsid w:val="0098454E"/>
    <w:rPr>
      <w:rFonts w:ascii="Arial" w:hAnsi="Arial" w:cs="Times New Roman"/>
      <w:sz w:val="20"/>
    </w:rPr>
  </w:style>
  <w:style w:type="paragraph" w:styleId="zFSand" w:customStyle="1">
    <w:name w:val="zFSand"/>
    <w:basedOn w:val="Standard"/>
    <w:next w:val="zFSco-names"/>
    <w:rsid w:val="0098454E"/>
    <w:pPr>
      <w:spacing w:line="290" w:lineRule="auto"/>
      <w:jc w:val="center"/>
    </w:pPr>
    <w:rPr>
      <w:kern w:val="20"/>
    </w:rPr>
  </w:style>
  <w:style w:type="paragraph" w:styleId="zFSco-names" w:customStyle="1">
    <w:name w:val="zFSco-names"/>
    <w:basedOn w:val="Standard"/>
    <w:next w:val="zFSand"/>
    <w:rsid w:val="0098454E"/>
    <w:pPr>
      <w:spacing w:before="120" w:after="120" w:line="290" w:lineRule="auto"/>
      <w:jc w:val="center"/>
    </w:pPr>
    <w:rPr>
      <w:kern w:val="24"/>
      <w:sz w:val="24"/>
    </w:rPr>
  </w:style>
  <w:style w:type="paragraph" w:styleId="zFSDate" w:customStyle="1">
    <w:name w:val="zFSDate"/>
    <w:basedOn w:val="Standard"/>
    <w:rsid w:val="0098454E"/>
    <w:pPr>
      <w:spacing w:line="290" w:lineRule="auto"/>
      <w:jc w:val="center"/>
    </w:pPr>
    <w:rPr>
      <w:kern w:val="20"/>
    </w:rPr>
  </w:style>
  <w:style w:type="character" w:styleId="Hyperlink">
    <w:name w:val="Hyperlink"/>
    <w:uiPriority w:val="99"/>
    <w:rsid w:val="0098454E"/>
    <w:rPr>
      <w:rFonts w:cs="Times New Roman"/>
      <w:color w:val="AF005F"/>
      <w:u w:val="none"/>
    </w:rPr>
  </w:style>
  <w:style w:type="paragraph" w:styleId="zFSNarrative" w:customStyle="1">
    <w:name w:val="zFSNarrative"/>
    <w:basedOn w:val="Standard"/>
    <w:rsid w:val="0098454E"/>
    <w:pPr>
      <w:spacing w:after="120" w:line="290" w:lineRule="auto"/>
      <w:jc w:val="center"/>
    </w:pPr>
    <w:rPr>
      <w:kern w:val="20"/>
    </w:rPr>
  </w:style>
  <w:style w:type="paragraph" w:styleId="Head" w:customStyle="1">
    <w:name w:val="Head"/>
    <w:basedOn w:val="Standard"/>
    <w:next w:val="Body"/>
    <w:rsid w:val="0098454E"/>
    <w:pPr>
      <w:keepNext/>
      <w:spacing w:before="280" w:after="140" w:line="290" w:lineRule="auto"/>
      <w:jc w:val="both"/>
    </w:pPr>
    <w:rPr>
      <w:b/>
      <w:kern w:val="23"/>
      <w:sz w:val="23"/>
    </w:rPr>
  </w:style>
  <w:style w:type="paragraph" w:styleId="zSFRef" w:customStyle="1">
    <w:name w:val="zSFRef"/>
    <w:basedOn w:val="Standard"/>
    <w:rsid w:val="0098454E"/>
    <w:rPr>
      <w:kern w:val="16"/>
      <w:sz w:val="16"/>
    </w:rPr>
  </w:style>
  <w:style w:type="paragraph" w:styleId="zFSAddress" w:customStyle="1">
    <w:name w:val="zFSAddress"/>
    <w:basedOn w:val="Standard"/>
    <w:rsid w:val="0098454E"/>
    <w:pPr>
      <w:spacing w:line="290" w:lineRule="auto"/>
    </w:pPr>
    <w:rPr>
      <w:kern w:val="16"/>
      <w:sz w:val="16"/>
    </w:rPr>
  </w:style>
  <w:style w:type="paragraph" w:styleId="zFSDraft" w:customStyle="1">
    <w:name w:val="zFSDraft"/>
    <w:basedOn w:val="Standard"/>
    <w:rsid w:val="0098454E"/>
    <w:pPr>
      <w:spacing w:line="290" w:lineRule="auto"/>
    </w:pPr>
    <w:rPr>
      <w:kern w:val="20"/>
    </w:rPr>
  </w:style>
  <w:style w:type="paragraph" w:styleId="zFSFax" w:customStyle="1">
    <w:name w:val="zFSFax"/>
    <w:basedOn w:val="Standard"/>
    <w:rsid w:val="0098454E"/>
    <w:rPr>
      <w:kern w:val="16"/>
      <w:sz w:val="16"/>
    </w:rPr>
  </w:style>
  <w:style w:type="paragraph" w:styleId="zFSTel" w:customStyle="1">
    <w:name w:val="zFSTel"/>
    <w:basedOn w:val="Standard"/>
    <w:rsid w:val="0098454E"/>
    <w:pPr>
      <w:spacing w:before="120"/>
    </w:pPr>
    <w:rPr>
      <w:kern w:val="16"/>
      <w:sz w:val="16"/>
    </w:rPr>
  </w:style>
  <w:style w:type="paragraph" w:styleId="LinklatersHeader" w:customStyle="1">
    <w:name w:val="Linklaters Header"/>
    <w:basedOn w:val="Standard"/>
    <w:rsid w:val="0098454E"/>
    <w:rPr>
      <w:kern w:val="20"/>
    </w:rPr>
  </w:style>
  <w:style w:type="paragraph" w:styleId="Kopfzeile">
    <w:name w:val="header"/>
    <w:basedOn w:val="Standard"/>
    <w:link w:val="KopfzeileZchn"/>
    <w:rsid w:val="0098454E"/>
    <w:pPr>
      <w:tabs>
        <w:tab w:val="center" w:pos="4320"/>
        <w:tab w:val="right" w:pos="8640"/>
      </w:tabs>
    </w:pPr>
    <w:rPr>
      <w:sz w:val="24"/>
      <w:lang w:val="x-none"/>
    </w:rPr>
  </w:style>
  <w:style w:type="character" w:styleId="KopfzeileZchn" w:customStyle="1">
    <w:name w:val="Kopfzeile Zchn"/>
    <w:link w:val="Kopfzeile"/>
    <w:semiHidden/>
    <w:locked/>
    <w:rsid w:val="00355D62"/>
    <w:rPr>
      <w:rFonts w:ascii="Arial" w:hAnsi="Arial" w:cs="Times New Roman"/>
      <w:sz w:val="24"/>
      <w:szCs w:val="24"/>
      <w:lang w:val="x-none" w:eastAsia="en-US"/>
    </w:rPr>
  </w:style>
  <w:style w:type="paragraph" w:styleId="Fuzeile">
    <w:name w:val="footer"/>
    <w:basedOn w:val="Standard"/>
    <w:link w:val="FuzeileZchn"/>
    <w:rsid w:val="0098454E"/>
    <w:pPr>
      <w:tabs>
        <w:tab w:val="center" w:pos="4320"/>
        <w:tab w:val="right" w:pos="8640"/>
      </w:tabs>
    </w:pPr>
    <w:rPr>
      <w:sz w:val="24"/>
      <w:lang w:val="x-none"/>
    </w:rPr>
  </w:style>
  <w:style w:type="character" w:styleId="FuzeileZchn" w:customStyle="1">
    <w:name w:val="Fußzeile Zchn"/>
    <w:link w:val="Fuzeile"/>
    <w:semiHidden/>
    <w:locked/>
    <w:rsid w:val="00355D62"/>
    <w:rPr>
      <w:rFonts w:ascii="Arial" w:hAnsi="Arial" w:cs="Times New Roman"/>
      <w:sz w:val="24"/>
      <w:szCs w:val="24"/>
      <w:lang w:val="x-none" w:eastAsia="en-US"/>
    </w:rPr>
  </w:style>
  <w:style w:type="paragraph" w:styleId="Verzeichnis6">
    <w:name w:val="toc 6"/>
    <w:basedOn w:val="Standard"/>
    <w:next w:val="Standard"/>
    <w:autoRedefine/>
    <w:semiHidden/>
    <w:rsid w:val="0098454E"/>
    <w:rPr>
      <w:rFonts w:ascii="Times New Roman" w:hAnsi="Times New Roman"/>
      <w:szCs w:val="26"/>
      <w:lang w:eastAsia="de-DE"/>
    </w:rPr>
  </w:style>
  <w:style w:type="paragraph" w:styleId="Textkrper-Zeileneinzug">
    <w:name w:val="Body Text Indent"/>
    <w:basedOn w:val="Standard"/>
    <w:link w:val="Textkrper-ZeileneinzugZchn"/>
    <w:rsid w:val="0098454E"/>
    <w:pPr>
      <w:spacing w:after="120"/>
      <w:ind w:left="283"/>
    </w:pPr>
    <w:rPr>
      <w:sz w:val="24"/>
      <w:lang w:val="x-none"/>
    </w:rPr>
  </w:style>
  <w:style w:type="character" w:styleId="Textkrper-ZeileneinzugZchn" w:customStyle="1">
    <w:name w:val="Textkörper-Zeileneinzug Zchn"/>
    <w:link w:val="Textkrper-Zeileneinzug"/>
    <w:semiHidden/>
    <w:locked/>
    <w:rsid w:val="00355D62"/>
    <w:rPr>
      <w:rFonts w:ascii="Arial" w:hAnsi="Arial" w:cs="Times New Roman"/>
      <w:sz w:val="24"/>
      <w:szCs w:val="24"/>
      <w:lang w:val="x-none" w:eastAsia="en-US"/>
    </w:rPr>
  </w:style>
  <w:style w:type="paragraph" w:styleId="Sprechblasentext">
    <w:name w:val="Balloon Text"/>
    <w:basedOn w:val="Standard"/>
    <w:link w:val="SprechblasentextZchn"/>
    <w:semiHidden/>
    <w:rsid w:val="00981CB4"/>
    <w:rPr>
      <w:rFonts w:ascii="Times New Roman" w:hAnsi="Times New Roman"/>
      <w:sz w:val="18"/>
      <w:szCs w:val="20"/>
      <w:lang w:val="x-none"/>
    </w:rPr>
  </w:style>
  <w:style w:type="character" w:styleId="SprechblasentextZchn" w:customStyle="1">
    <w:name w:val="Sprechblasentext Zchn"/>
    <w:link w:val="Sprechblasentext"/>
    <w:semiHidden/>
    <w:locked/>
    <w:rsid w:val="00981CB4"/>
    <w:rPr>
      <w:sz w:val="18"/>
      <w:lang w:val="x-none" w:eastAsia="en-US"/>
    </w:rPr>
  </w:style>
  <w:style w:type="paragraph" w:styleId="BodyTextNum" w:customStyle="1">
    <w:name w:val="Body Text Num"/>
    <w:basedOn w:val="Textkrper"/>
    <w:rsid w:val="0098454E"/>
    <w:pPr>
      <w:numPr>
        <w:ilvl w:val="1"/>
        <w:numId w:val="19"/>
      </w:numPr>
      <w:tabs>
        <w:tab w:val="left" w:pos="360"/>
      </w:tabs>
      <w:spacing w:before="120"/>
      <w:jc w:val="both"/>
    </w:pPr>
    <w:rPr>
      <w:rFonts w:ascii="Garamond" w:hAnsi="Garamond"/>
      <w:sz w:val="22"/>
    </w:rPr>
  </w:style>
  <w:style w:type="paragraph" w:styleId="Heading2Num" w:customStyle="1">
    <w:name w:val="Heading 2 Num"/>
    <w:basedOn w:val="berschrift2"/>
    <w:next w:val="BodyTextNum"/>
    <w:rsid w:val="0098454E"/>
    <w:pPr>
      <w:keepNext/>
      <w:numPr>
        <w:numId w:val="19"/>
      </w:numPr>
      <w:tabs>
        <w:tab w:val="num" w:pos="360"/>
      </w:tabs>
      <w:ind w:left="76"/>
      <w:jc w:val="left"/>
    </w:pPr>
    <w:rPr>
      <w:rFonts w:ascii="Garamond" w:hAnsi="Garamond"/>
      <w:lang w:val="en-GB"/>
    </w:rPr>
  </w:style>
  <w:style w:type="paragraph" w:styleId="Textkrper">
    <w:name w:val="Body Text"/>
    <w:basedOn w:val="Standard"/>
    <w:link w:val="TextkrperZchn"/>
    <w:rsid w:val="0098454E"/>
    <w:pPr>
      <w:spacing w:after="120"/>
    </w:pPr>
    <w:rPr>
      <w:sz w:val="24"/>
      <w:lang w:val="x-none"/>
    </w:rPr>
  </w:style>
  <w:style w:type="character" w:styleId="TextkrperZchn" w:customStyle="1">
    <w:name w:val="Textkörper Zchn"/>
    <w:link w:val="Textkrper"/>
    <w:semiHidden/>
    <w:locked/>
    <w:rsid w:val="00355D62"/>
    <w:rPr>
      <w:rFonts w:ascii="Arial" w:hAnsi="Arial" w:cs="Times New Roman"/>
      <w:sz w:val="24"/>
      <w:szCs w:val="24"/>
      <w:lang w:val="x-none" w:eastAsia="en-US"/>
    </w:rPr>
  </w:style>
  <w:style w:type="paragraph" w:styleId="alpha1" w:customStyle="1">
    <w:name w:val="alpha 1"/>
    <w:basedOn w:val="Standard"/>
    <w:rsid w:val="0098454E"/>
    <w:pPr>
      <w:tabs>
        <w:tab w:val="num" w:pos="680"/>
      </w:tabs>
      <w:spacing w:after="140" w:line="290" w:lineRule="auto"/>
      <w:ind w:left="680" w:hanging="680"/>
      <w:jc w:val="both"/>
    </w:pPr>
    <w:rPr>
      <w:rFonts w:ascii="Times New Roman" w:hAnsi="Times New Roman"/>
      <w:kern w:val="20"/>
      <w:sz w:val="24"/>
      <w:szCs w:val="20"/>
      <w:lang w:val="en-GB"/>
    </w:rPr>
  </w:style>
  <w:style w:type="paragraph" w:styleId="alpha2" w:customStyle="1">
    <w:name w:val="alpha 2"/>
    <w:basedOn w:val="Standard"/>
    <w:rsid w:val="0098454E"/>
    <w:pPr>
      <w:tabs>
        <w:tab w:val="num" w:pos="1361"/>
      </w:tabs>
      <w:spacing w:after="140" w:line="290" w:lineRule="auto"/>
      <w:ind w:left="1361" w:hanging="681"/>
      <w:jc w:val="both"/>
    </w:pPr>
    <w:rPr>
      <w:rFonts w:ascii="Times New Roman" w:hAnsi="Times New Roman"/>
      <w:kern w:val="20"/>
      <w:sz w:val="24"/>
      <w:szCs w:val="20"/>
      <w:lang w:val="en-GB"/>
    </w:rPr>
  </w:style>
  <w:style w:type="paragraph" w:styleId="alpha3" w:customStyle="1">
    <w:name w:val="alpha 3"/>
    <w:basedOn w:val="Standard"/>
    <w:rsid w:val="0098454E"/>
    <w:pPr>
      <w:tabs>
        <w:tab w:val="num" w:pos="2041"/>
      </w:tabs>
      <w:spacing w:after="140" w:line="290" w:lineRule="auto"/>
      <w:ind w:left="2041" w:hanging="680"/>
      <w:jc w:val="both"/>
    </w:pPr>
    <w:rPr>
      <w:rFonts w:ascii="Times New Roman" w:hAnsi="Times New Roman"/>
      <w:kern w:val="20"/>
      <w:sz w:val="24"/>
      <w:szCs w:val="20"/>
      <w:lang w:val="en-GB"/>
    </w:rPr>
  </w:style>
  <w:style w:type="paragraph" w:styleId="alpha4" w:customStyle="1">
    <w:name w:val="alpha 4"/>
    <w:basedOn w:val="Standard"/>
    <w:rsid w:val="0098454E"/>
    <w:pPr>
      <w:tabs>
        <w:tab w:val="num" w:pos="2608"/>
      </w:tabs>
      <w:spacing w:after="140" w:line="290" w:lineRule="auto"/>
      <w:ind w:left="2608" w:hanging="567"/>
      <w:jc w:val="both"/>
    </w:pPr>
    <w:rPr>
      <w:rFonts w:ascii="Times New Roman" w:hAnsi="Times New Roman"/>
      <w:kern w:val="20"/>
      <w:sz w:val="24"/>
      <w:szCs w:val="20"/>
      <w:lang w:val="en-GB"/>
    </w:rPr>
  </w:style>
  <w:style w:type="paragraph" w:styleId="bullet3" w:customStyle="1">
    <w:name w:val="bullet 3"/>
    <w:basedOn w:val="Standard"/>
    <w:rsid w:val="0098454E"/>
    <w:pPr>
      <w:numPr>
        <w:numId w:val="20"/>
      </w:numPr>
      <w:tabs>
        <w:tab w:val="clear" w:pos="2608"/>
        <w:tab w:val="num" w:pos="2041"/>
      </w:tabs>
      <w:spacing w:after="140" w:line="290" w:lineRule="auto"/>
      <w:ind w:left="2041" w:hanging="680"/>
      <w:jc w:val="both"/>
    </w:pPr>
    <w:rPr>
      <w:rFonts w:ascii="Times New Roman" w:hAnsi="Times New Roman"/>
      <w:kern w:val="20"/>
      <w:sz w:val="24"/>
      <w:lang w:val="en-GB"/>
    </w:rPr>
  </w:style>
  <w:style w:type="paragraph" w:styleId="roman2" w:customStyle="1">
    <w:name w:val="roman 2"/>
    <w:basedOn w:val="Standard"/>
    <w:rsid w:val="0098454E"/>
    <w:pPr>
      <w:numPr>
        <w:numId w:val="21"/>
      </w:numPr>
      <w:tabs>
        <w:tab w:val="clear" w:pos="2041"/>
        <w:tab w:val="num" w:pos="1361"/>
      </w:tabs>
      <w:spacing w:after="140" w:line="290" w:lineRule="auto"/>
      <w:ind w:left="1361" w:hanging="681"/>
      <w:jc w:val="both"/>
    </w:pPr>
    <w:rPr>
      <w:rFonts w:ascii="Times New Roman" w:hAnsi="Times New Roman"/>
      <w:kern w:val="20"/>
      <w:sz w:val="24"/>
      <w:szCs w:val="20"/>
      <w:lang w:val="en-GB"/>
    </w:rPr>
  </w:style>
  <w:style w:type="paragraph" w:styleId="zFSTitle" w:customStyle="1">
    <w:name w:val="zFSTitle"/>
    <w:basedOn w:val="Standard"/>
    <w:next w:val="zFSNarrative"/>
    <w:rsid w:val="0098454E"/>
    <w:pPr>
      <w:keepNext/>
      <w:spacing w:before="240" w:after="120" w:line="290" w:lineRule="auto"/>
      <w:jc w:val="center"/>
    </w:pPr>
    <w:rPr>
      <w:rFonts w:ascii="Times New Roman" w:hAnsi="Times New Roman" w:eastAsia="SimSun"/>
      <w:sz w:val="28"/>
      <w:szCs w:val="28"/>
      <w:lang w:val="en-GB"/>
    </w:rPr>
  </w:style>
  <w:style w:type="paragraph" w:styleId="alpha5" w:customStyle="1">
    <w:name w:val="alpha 5"/>
    <w:basedOn w:val="Standard"/>
    <w:rsid w:val="0098454E"/>
    <w:pPr>
      <w:tabs>
        <w:tab w:val="num" w:pos="680"/>
      </w:tabs>
      <w:spacing w:after="140" w:line="290" w:lineRule="auto"/>
      <w:ind w:left="680" w:hanging="680"/>
      <w:jc w:val="both"/>
    </w:pPr>
    <w:rPr>
      <w:rFonts w:ascii="Times New Roman" w:hAnsi="Times New Roman"/>
      <w:kern w:val="20"/>
      <w:sz w:val="24"/>
      <w:szCs w:val="20"/>
      <w:lang w:val="en-GB"/>
    </w:rPr>
  </w:style>
  <w:style w:type="paragraph" w:styleId="bullet4" w:customStyle="1">
    <w:name w:val="bullet 4"/>
    <w:basedOn w:val="Standard"/>
    <w:rsid w:val="0098454E"/>
    <w:pPr>
      <w:numPr>
        <w:numId w:val="23"/>
      </w:numPr>
      <w:tabs>
        <w:tab w:val="clear" w:pos="3288"/>
        <w:tab w:val="num" w:pos="2608"/>
      </w:tabs>
      <w:spacing w:after="140" w:line="290" w:lineRule="auto"/>
      <w:ind w:left="2608" w:hanging="567"/>
      <w:jc w:val="both"/>
    </w:pPr>
    <w:rPr>
      <w:rFonts w:ascii="Times New Roman" w:hAnsi="Times New Roman"/>
      <w:kern w:val="20"/>
      <w:sz w:val="24"/>
      <w:lang w:val="en-GB"/>
    </w:rPr>
  </w:style>
  <w:style w:type="paragraph" w:styleId="roman3" w:customStyle="1">
    <w:name w:val="roman 3"/>
    <w:basedOn w:val="Standard"/>
    <w:rsid w:val="0098454E"/>
    <w:pPr>
      <w:numPr>
        <w:numId w:val="27"/>
      </w:numPr>
      <w:tabs>
        <w:tab w:val="clear" w:pos="2608"/>
        <w:tab w:val="num" w:pos="2041"/>
      </w:tabs>
      <w:spacing w:after="140" w:line="290" w:lineRule="auto"/>
      <w:ind w:left="2041" w:hanging="680"/>
      <w:jc w:val="both"/>
    </w:pPr>
    <w:rPr>
      <w:rFonts w:ascii="Times New Roman" w:hAnsi="Times New Roman"/>
      <w:kern w:val="20"/>
      <w:sz w:val="24"/>
      <w:szCs w:val="20"/>
      <w:lang w:val="en-GB"/>
    </w:rPr>
  </w:style>
  <w:style w:type="paragraph" w:styleId="Table1" w:customStyle="1">
    <w:name w:val="Table 1"/>
    <w:basedOn w:val="Standard"/>
    <w:rsid w:val="0098454E"/>
    <w:pPr>
      <w:tabs>
        <w:tab w:val="num" w:pos="680"/>
      </w:tabs>
      <w:spacing w:before="60" w:after="60" w:line="290" w:lineRule="auto"/>
      <w:ind w:left="680" w:hanging="680"/>
      <w:outlineLvl w:val="0"/>
    </w:pPr>
    <w:rPr>
      <w:rFonts w:ascii="Times New Roman" w:hAnsi="Times New Roman"/>
      <w:kern w:val="20"/>
      <w:sz w:val="24"/>
      <w:lang w:val="en-GB"/>
    </w:rPr>
  </w:style>
  <w:style w:type="paragraph" w:styleId="UCAlpha1" w:customStyle="1">
    <w:name w:val="UCAlpha 1"/>
    <w:basedOn w:val="Standard"/>
    <w:rsid w:val="0098454E"/>
    <w:pPr>
      <w:tabs>
        <w:tab w:val="num" w:pos="680"/>
      </w:tabs>
      <w:spacing w:after="140" w:line="290" w:lineRule="auto"/>
      <w:ind w:left="680" w:hanging="680"/>
      <w:jc w:val="both"/>
    </w:pPr>
    <w:rPr>
      <w:rFonts w:ascii="Times New Roman" w:hAnsi="Times New Roman"/>
      <w:kern w:val="20"/>
      <w:sz w:val="24"/>
      <w:lang w:val="en-GB"/>
    </w:rPr>
  </w:style>
  <w:style w:type="paragraph" w:styleId="UCAlpha2" w:customStyle="1">
    <w:name w:val="UCAlpha 2"/>
    <w:basedOn w:val="Standard"/>
    <w:rsid w:val="0098454E"/>
    <w:pPr>
      <w:tabs>
        <w:tab w:val="num" w:pos="1361"/>
      </w:tabs>
      <w:spacing w:after="140" w:line="290" w:lineRule="auto"/>
      <w:ind w:left="1361" w:hanging="681"/>
      <w:jc w:val="both"/>
    </w:pPr>
    <w:rPr>
      <w:rFonts w:ascii="Times New Roman" w:hAnsi="Times New Roman"/>
      <w:kern w:val="20"/>
      <w:sz w:val="24"/>
      <w:lang w:val="en-GB"/>
    </w:rPr>
  </w:style>
  <w:style w:type="paragraph" w:styleId="UCAlpha3" w:customStyle="1">
    <w:name w:val="UCAlpha 3"/>
    <w:basedOn w:val="Standard"/>
    <w:rsid w:val="0098454E"/>
    <w:pPr>
      <w:tabs>
        <w:tab w:val="num" w:pos="2041"/>
      </w:tabs>
      <w:spacing w:after="140" w:line="290" w:lineRule="auto"/>
      <w:ind w:left="2041" w:hanging="680"/>
      <w:jc w:val="both"/>
    </w:pPr>
    <w:rPr>
      <w:rFonts w:ascii="Times New Roman" w:hAnsi="Times New Roman"/>
      <w:kern w:val="20"/>
      <w:sz w:val="24"/>
      <w:lang w:val="en-GB"/>
    </w:rPr>
  </w:style>
  <w:style w:type="paragraph" w:styleId="UCAlpha4" w:customStyle="1">
    <w:name w:val="UCAlpha 4"/>
    <w:basedOn w:val="Standard"/>
    <w:rsid w:val="0098454E"/>
    <w:pPr>
      <w:tabs>
        <w:tab w:val="num" w:pos="2608"/>
      </w:tabs>
      <w:spacing w:after="140" w:line="290" w:lineRule="auto"/>
      <w:ind w:left="2608" w:hanging="567"/>
      <w:jc w:val="both"/>
    </w:pPr>
    <w:rPr>
      <w:rFonts w:ascii="Times New Roman" w:hAnsi="Times New Roman"/>
      <w:kern w:val="20"/>
      <w:sz w:val="24"/>
      <w:lang w:val="en-GB"/>
    </w:rPr>
  </w:style>
  <w:style w:type="paragraph" w:styleId="UCAlpha5" w:customStyle="1">
    <w:name w:val="UCAlpha 5"/>
    <w:basedOn w:val="Standard"/>
    <w:rsid w:val="0098454E"/>
    <w:pPr>
      <w:tabs>
        <w:tab w:val="num" w:pos="3288"/>
      </w:tabs>
      <w:spacing w:after="140" w:line="290" w:lineRule="auto"/>
      <w:ind w:left="3288" w:hanging="680"/>
      <w:jc w:val="both"/>
    </w:pPr>
    <w:rPr>
      <w:rFonts w:ascii="Times New Roman" w:hAnsi="Times New Roman"/>
      <w:kern w:val="20"/>
      <w:sz w:val="24"/>
      <w:lang w:val="en-GB"/>
    </w:rPr>
  </w:style>
  <w:style w:type="paragraph" w:styleId="zFSAddress2" w:customStyle="1">
    <w:name w:val="zFSAddress2"/>
    <w:basedOn w:val="Standard"/>
    <w:rsid w:val="0098454E"/>
    <w:pPr>
      <w:numPr>
        <w:numId w:val="24"/>
      </w:numPr>
      <w:tabs>
        <w:tab w:val="clear" w:pos="2041"/>
      </w:tabs>
      <w:spacing w:line="290" w:lineRule="auto"/>
      <w:ind w:left="0" w:firstLine="0"/>
    </w:pPr>
    <w:rPr>
      <w:rFonts w:ascii="Times New Roman" w:hAnsi="Times New Roman"/>
      <w:kern w:val="16"/>
      <w:sz w:val="16"/>
      <w:lang w:val="en-GB"/>
    </w:rPr>
  </w:style>
  <w:style w:type="paragraph" w:styleId="Aufzhlungszeichen">
    <w:name w:val="List Bullet"/>
    <w:basedOn w:val="Standard"/>
    <w:rsid w:val="0098454E"/>
    <w:pPr>
      <w:numPr>
        <w:numId w:val="25"/>
      </w:numPr>
      <w:tabs>
        <w:tab w:val="clear" w:pos="2608"/>
        <w:tab w:val="num" w:pos="360"/>
      </w:tabs>
      <w:ind w:left="360" w:hanging="360"/>
    </w:pPr>
    <w:rPr>
      <w:rFonts w:ascii="Times New Roman" w:hAnsi="Times New Roman"/>
      <w:sz w:val="24"/>
      <w:lang w:val="en-GB"/>
    </w:rPr>
  </w:style>
  <w:style w:type="paragraph" w:styleId="ContractLevel1" w:customStyle="1">
    <w:name w:val="Contract Level 1"/>
    <w:basedOn w:val="Textkrper"/>
    <w:next w:val="Standard"/>
    <w:autoRedefine/>
    <w:rsid w:val="0098454E"/>
    <w:pPr>
      <w:keepNext/>
      <w:numPr>
        <w:numId w:val="26"/>
      </w:numPr>
      <w:tabs>
        <w:tab w:val="clear" w:pos="3288"/>
      </w:tabs>
      <w:spacing w:before="800" w:after="160" w:line="288" w:lineRule="auto"/>
      <w:ind w:left="0" w:firstLine="0"/>
      <w:jc w:val="center"/>
    </w:pPr>
    <w:rPr>
      <w:rFonts w:ascii="Times New Roman" w:hAnsi="Times New Roman"/>
      <w:b/>
      <w:bCs/>
      <w:color w:val="000000"/>
      <w:lang w:val="en-US" w:eastAsia="de-DE"/>
    </w:rPr>
  </w:style>
  <w:style w:type="paragraph" w:styleId="bullet2" w:customStyle="1">
    <w:name w:val="bullet 2"/>
    <w:basedOn w:val="Standard"/>
    <w:rsid w:val="0098454E"/>
    <w:pPr>
      <w:numPr>
        <w:numId w:val="28"/>
      </w:numPr>
      <w:tabs>
        <w:tab w:val="clear" w:pos="2041"/>
        <w:tab w:val="num" w:pos="1361"/>
      </w:tabs>
      <w:spacing w:after="140" w:line="290" w:lineRule="auto"/>
      <w:ind w:left="1361" w:hanging="681"/>
      <w:jc w:val="both"/>
    </w:pPr>
    <w:rPr>
      <w:rFonts w:ascii="Times New Roman" w:hAnsi="Times New Roman"/>
      <w:kern w:val="20"/>
      <w:sz w:val="24"/>
      <w:lang w:val="en-GB"/>
    </w:rPr>
  </w:style>
  <w:style w:type="paragraph" w:styleId="roman1" w:customStyle="1">
    <w:name w:val="roman 1"/>
    <w:basedOn w:val="Standard"/>
    <w:rsid w:val="0098454E"/>
    <w:pPr>
      <w:numPr>
        <w:numId w:val="29"/>
      </w:numPr>
      <w:tabs>
        <w:tab w:val="clear" w:pos="1361"/>
        <w:tab w:val="num" w:pos="680"/>
      </w:tabs>
      <w:spacing w:after="140" w:line="290" w:lineRule="auto"/>
      <w:ind w:left="680" w:hanging="680"/>
      <w:jc w:val="both"/>
    </w:pPr>
    <w:rPr>
      <w:rFonts w:ascii="Times New Roman" w:hAnsi="Times New Roman"/>
      <w:kern w:val="20"/>
      <w:sz w:val="24"/>
      <w:szCs w:val="20"/>
      <w:lang w:val="en-GB"/>
    </w:rPr>
  </w:style>
  <w:style w:type="paragraph" w:styleId="Index1">
    <w:name w:val="index 1"/>
    <w:basedOn w:val="Standard"/>
    <w:next w:val="Standard"/>
    <w:autoRedefine/>
    <w:uiPriority w:val="99"/>
    <w:semiHidden/>
    <w:rsid w:val="0098454E"/>
    <w:pPr>
      <w:ind w:left="200" w:hanging="200"/>
    </w:pPr>
    <w:rPr>
      <w:sz w:val="18"/>
      <w:szCs w:val="18"/>
    </w:rPr>
  </w:style>
  <w:style w:type="paragraph" w:styleId="Indexberschrift">
    <w:name w:val="index heading"/>
    <w:basedOn w:val="Standard"/>
    <w:next w:val="Index1"/>
    <w:semiHidden/>
    <w:rsid w:val="0098454E"/>
    <w:pPr>
      <w:spacing w:before="240" w:after="120"/>
      <w:jc w:val="center"/>
    </w:pPr>
    <w:rPr>
      <w:rFonts w:ascii="Times New Roman" w:hAnsi="Times New Roman"/>
      <w:b/>
      <w:bCs/>
      <w:sz w:val="26"/>
      <w:szCs w:val="26"/>
    </w:rPr>
  </w:style>
  <w:style w:type="paragraph" w:styleId="Index2">
    <w:name w:val="index 2"/>
    <w:basedOn w:val="Standard"/>
    <w:next w:val="Standard"/>
    <w:autoRedefine/>
    <w:semiHidden/>
    <w:rsid w:val="0098454E"/>
    <w:pPr>
      <w:ind w:left="400" w:hanging="200"/>
    </w:pPr>
    <w:rPr>
      <w:rFonts w:ascii="Times New Roman" w:hAnsi="Times New Roman"/>
      <w:sz w:val="18"/>
      <w:szCs w:val="18"/>
    </w:rPr>
  </w:style>
  <w:style w:type="paragraph" w:styleId="Index3">
    <w:name w:val="index 3"/>
    <w:basedOn w:val="Standard"/>
    <w:next w:val="Standard"/>
    <w:autoRedefine/>
    <w:semiHidden/>
    <w:rsid w:val="0098454E"/>
    <w:pPr>
      <w:ind w:left="600" w:hanging="200"/>
    </w:pPr>
    <w:rPr>
      <w:rFonts w:ascii="Times New Roman" w:hAnsi="Times New Roman"/>
      <w:sz w:val="18"/>
      <w:szCs w:val="18"/>
    </w:rPr>
  </w:style>
  <w:style w:type="paragraph" w:styleId="Index4">
    <w:name w:val="index 4"/>
    <w:basedOn w:val="Standard"/>
    <w:next w:val="Standard"/>
    <w:autoRedefine/>
    <w:semiHidden/>
    <w:rsid w:val="0098454E"/>
    <w:pPr>
      <w:ind w:left="800" w:hanging="200"/>
    </w:pPr>
    <w:rPr>
      <w:rFonts w:ascii="Times New Roman" w:hAnsi="Times New Roman"/>
      <w:sz w:val="18"/>
      <w:szCs w:val="18"/>
    </w:rPr>
  </w:style>
  <w:style w:type="paragraph" w:styleId="Index5">
    <w:name w:val="index 5"/>
    <w:basedOn w:val="Standard"/>
    <w:next w:val="Standard"/>
    <w:autoRedefine/>
    <w:semiHidden/>
    <w:rsid w:val="0098454E"/>
    <w:pPr>
      <w:ind w:left="1000" w:hanging="200"/>
    </w:pPr>
    <w:rPr>
      <w:rFonts w:ascii="Times New Roman" w:hAnsi="Times New Roman"/>
      <w:sz w:val="18"/>
      <w:szCs w:val="18"/>
    </w:rPr>
  </w:style>
  <w:style w:type="paragraph" w:styleId="Index6">
    <w:name w:val="index 6"/>
    <w:basedOn w:val="Standard"/>
    <w:next w:val="Standard"/>
    <w:autoRedefine/>
    <w:semiHidden/>
    <w:rsid w:val="0098454E"/>
    <w:pPr>
      <w:ind w:left="1200" w:hanging="200"/>
    </w:pPr>
    <w:rPr>
      <w:rFonts w:ascii="Times New Roman" w:hAnsi="Times New Roman"/>
      <w:sz w:val="18"/>
      <w:szCs w:val="18"/>
    </w:rPr>
  </w:style>
  <w:style w:type="paragraph" w:styleId="Index7">
    <w:name w:val="index 7"/>
    <w:basedOn w:val="Standard"/>
    <w:next w:val="Standard"/>
    <w:autoRedefine/>
    <w:semiHidden/>
    <w:rsid w:val="0098454E"/>
    <w:pPr>
      <w:ind w:left="1400" w:hanging="200"/>
    </w:pPr>
    <w:rPr>
      <w:rFonts w:ascii="Times New Roman" w:hAnsi="Times New Roman"/>
      <w:sz w:val="18"/>
      <w:szCs w:val="18"/>
    </w:rPr>
  </w:style>
  <w:style w:type="paragraph" w:styleId="Index8">
    <w:name w:val="index 8"/>
    <w:basedOn w:val="Standard"/>
    <w:next w:val="Standard"/>
    <w:autoRedefine/>
    <w:semiHidden/>
    <w:rsid w:val="0098454E"/>
    <w:pPr>
      <w:ind w:left="1600" w:hanging="200"/>
    </w:pPr>
    <w:rPr>
      <w:rFonts w:ascii="Times New Roman" w:hAnsi="Times New Roman"/>
      <w:sz w:val="18"/>
      <w:szCs w:val="18"/>
    </w:rPr>
  </w:style>
  <w:style w:type="paragraph" w:styleId="Index9">
    <w:name w:val="index 9"/>
    <w:basedOn w:val="Standard"/>
    <w:next w:val="Standard"/>
    <w:autoRedefine/>
    <w:semiHidden/>
    <w:rsid w:val="0098454E"/>
    <w:pPr>
      <w:ind w:left="1800" w:hanging="200"/>
    </w:pPr>
    <w:rPr>
      <w:rFonts w:ascii="Times New Roman" w:hAnsi="Times New Roman"/>
      <w:sz w:val="18"/>
      <w:szCs w:val="18"/>
    </w:rPr>
  </w:style>
  <w:style w:type="paragraph" w:styleId="Textkrper-Einzug2">
    <w:name w:val="Body Text Indent 2"/>
    <w:basedOn w:val="Standard"/>
    <w:link w:val="Textkrper-Einzug2Zchn"/>
    <w:rsid w:val="0098454E"/>
    <w:pPr>
      <w:spacing w:after="120" w:line="480" w:lineRule="auto"/>
      <w:ind w:left="283"/>
    </w:pPr>
    <w:rPr>
      <w:sz w:val="24"/>
      <w:lang w:val="x-none"/>
    </w:rPr>
  </w:style>
  <w:style w:type="character" w:styleId="Textkrper-Einzug2Zchn" w:customStyle="1">
    <w:name w:val="Textkörper-Einzug 2 Zchn"/>
    <w:link w:val="Textkrper-Einzug2"/>
    <w:semiHidden/>
    <w:locked/>
    <w:rsid w:val="00355D62"/>
    <w:rPr>
      <w:rFonts w:ascii="Arial" w:hAnsi="Arial" w:cs="Times New Roman"/>
      <w:sz w:val="24"/>
      <w:szCs w:val="24"/>
      <w:lang w:val="x-none" w:eastAsia="en-US"/>
    </w:rPr>
  </w:style>
  <w:style w:type="paragraph" w:styleId="bullet6" w:customStyle="1">
    <w:name w:val="bullet 6"/>
    <w:basedOn w:val="Standard"/>
    <w:rsid w:val="0098454E"/>
    <w:pPr>
      <w:tabs>
        <w:tab w:val="num" w:pos="680"/>
      </w:tabs>
      <w:spacing w:after="140" w:line="290" w:lineRule="auto"/>
      <w:ind w:left="680" w:hanging="680"/>
      <w:jc w:val="both"/>
    </w:pPr>
    <w:rPr>
      <w:rFonts w:ascii="Times New Roman" w:hAnsi="Times New Roman"/>
      <w:kern w:val="20"/>
      <w:sz w:val="24"/>
      <w:lang w:val="en-GB"/>
    </w:rPr>
  </w:style>
  <w:style w:type="paragraph" w:styleId="roman5" w:customStyle="1">
    <w:name w:val="roman 5"/>
    <w:basedOn w:val="Standard"/>
    <w:rsid w:val="0098454E"/>
    <w:pPr>
      <w:numPr>
        <w:numId w:val="30"/>
      </w:numPr>
      <w:tabs>
        <w:tab w:val="clear" w:pos="3969"/>
        <w:tab w:val="num" w:pos="3288"/>
      </w:tabs>
      <w:spacing w:after="140" w:line="290" w:lineRule="auto"/>
      <w:ind w:left="3288" w:hanging="680"/>
      <w:jc w:val="both"/>
    </w:pPr>
    <w:rPr>
      <w:rFonts w:ascii="Times New Roman" w:hAnsi="Times New Roman"/>
      <w:kern w:val="20"/>
      <w:sz w:val="24"/>
      <w:szCs w:val="20"/>
      <w:lang w:val="en-GB"/>
    </w:rPr>
  </w:style>
  <w:style w:type="paragraph" w:styleId="Formatvorlage1" w:customStyle="1">
    <w:name w:val="Formatvorlage1"/>
    <w:basedOn w:val="berschrift1"/>
    <w:next w:val="berschrift2"/>
    <w:autoRedefine/>
    <w:rsid w:val="0098454E"/>
    <w:pPr>
      <w:keepNext/>
      <w:numPr>
        <w:numId w:val="31"/>
      </w:numPr>
      <w:spacing w:after="60"/>
    </w:pPr>
    <w:rPr>
      <w:rFonts w:cs="Arial"/>
      <w:bCs w:val="0"/>
    </w:rPr>
  </w:style>
  <w:style w:type="character" w:styleId="Level3Zchn" w:customStyle="1">
    <w:name w:val="Level 3 Zchn"/>
    <w:link w:val="Level3"/>
    <w:locked/>
    <w:rsid w:val="0098454E"/>
    <w:rPr>
      <w:rFonts w:ascii="Arial" w:hAnsi="Arial" w:cs="Times New Roman"/>
      <w:kern w:val="20"/>
      <w:sz w:val="24"/>
      <w:szCs w:val="24"/>
      <w:lang w:val="x-none" w:eastAsia="en-US"/>
    </w:rPr>
  </w:style>
  <w:style w:type="paragraph" w:styleId="CharChar" w:customStyle="1">
    <w:name w:val="Char Char"/>
    <w:basedOn w:val="Standard"/>
    <w:rsid w:val="0098454E"/>
    <w:pPr>
      <w:spacing w:after="160" w:line="240" w:lineRule="exact"/>
    </w:pPr>
    <w:rPr>
      <w:rFonts w:ascii="Verdana" w:hAnsi="Verdana"/>
      <w:szCs w:val="20"/>
      <w:lang w:val="en-US"/>
    </w:rPr>
  </w:style>
  <w:style w:type="paragraph" w:styleId="Body3" w:customStyle="1">
    <w:name w:val="Body 3"/>
    <w:basedOn w:val="Standard"/>
    <w:rsid w:val="00B1570B"/>
    <w:pPr>
      <w:spacing w:after="140" w:line="290" w:lineRule="auto"/>
      <w:ind w:left="2041"/>
      <w:jc w:val="both"/>
    </w:pPr>
    <w:rPr>
      <w:kern w:val="20"/>
      <w:lang w:val="en-US"/>
    </w:rPr>
  </w:style>
  <w:style w:type="character" w:styleId="BodyChar" w:customStyle="1">
    <w:name w:val="Body Char"/>
    <w:link w:val="Body"/>
    <w:locked/>
    <w:rsid w:val="000655A4"/>
    <w:rPr>
      <w:rFonts w:ascii="Arial" w:hAnsi="Arial" w:cs="Times New Roman"/>
      <w:kern w:val="20"/>
      <w:sz w:val="24"/>
      <w:szCs w:val="24"/>
      <w:lang w:val="de-DE" w:eastAsia="en-US" w:bidi="ar-SA"/>
    </w:rPr>
  </w:style>
  <w:style w:type="table" w:styleId="Tabellengitternetz" w:customStyle="1">
    <w:name w:val="Tabellengitternetz"/>
    <w:basedOn w:val="NormaleTabelle"/>
    <w:rsid w:val="000655A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hedApps" w:customStyle="1">
    <w:name w:val="Sched/Apps"/>
    <w:basedOn w:val="Standard"/>
    <w:next w:val="Body"/>
    <w:rsid w:val="000655A4"/>
    <w:pPr>
      <w:keepNext/>
      <w:pageBreakBefore/>
      <w:spacing w:after="240" w:line="290" w:lineRule="auto"/>
      <w:jc w:val="center"/>
      <w:outlineLvl w:val="3"/>
    </w:pPr>
    <w:rPr>
      <w:b/>
      <w:kern w:val="23"/>
      <w:sz w:val="23"/>
      <w:lang w:val="en-US"/>
    </w:rPr>
  </w:style>
  <w:style w:type="character" w:styleId="Kommentarzeichen">
    <w:name w:val="annotation reference"/>
    <w:rsid w:val="00324921"/>
    <w:rPr>
      <w:rFonts w:cs="Times New Roman"/>
      <w:sz w:val="16"/>
      <w:szCs w:val="16"/>
    </w:rPr>
  </w:style>
  <w:style w:type="paragraph" w:styleId="Kommentartext">
    <w:name w:val="annotation text"/>
    <w:basedOn w:val="Standard"/>
    <w:link w:val="KommentartextZchn"/>
    <w:rsid w:val="00324921"/>
    <w:rPr>
      <w:szCs w:val="20"/>
      <w:lang w:val="x-none"/>
    </w:rPr>
  </w:style>
  <w:style w:type="character" w:styleId="KommentartextZchn" w:customStyle="1">
    <w:name w:val="Kommentartext Zchn"/>
    <w:link w:val="Kommentartext"/>
    <w:locked/>
    <w:rsid w:val="00324921"/>
    <w:rPr>
      <w:rFonts w:ascii="Arial" w:hAnsi="Arial" w:cs="Times New Roman"/>
      <w:lang w:val="x-none" w:eastAsia="en-US"/>
    </w:rPr>
  </w:style>
  <w:style w:type="paragraph" w:styleId="Kommentarthema">
    <w:name w:val="annotation subject"/>
    <w:basedOn w:val="Kommentartext"/>
    <w:next w:val="Kommentartext"/>
    <w:link w:val="KommentarthemaZchn"/>
    <w:rsid w:val="00324921"/>
    <w:rPr>
      <w:b/>
      <w:bCs/>
    </w:rPr>
  </w:style>
  <w:style w:type="character" w:styleId="KommentarthemaZchn" w:customStyle="1">
    <w:name w:val="Kommentarthema Zchn"/>
    <w:link w:val="Kommentarthema"/>
    <w:locked/>
    <w:rsid w:val="00324921"/>
    <w:rPr>
      <w:rFonts w:ascii="Arial" w:hAnsi="Arial" w:cs="Times New Roman"/>
      <w:b/>
      <w:bCs/>
      <w:lang w:val="x-none" w:eastAsia="en-US"/>
    </w:rPr>
  </w:style>
  <w:style w:type="paragraph" w:styleId="Dokumentstruktur">
    <w:name w:val="Document Map"/>
    <w:basedOn w:val="Standard"/>
    <w:link w:val="DokumentstrukturZchn"/>
    <w:semiHidden/>
    <w:rsid w:val="00613601"/>
    <w:pPr>
      <w:shd w:val="clear" w:color="auto" w:fill="000080"/>
    </w:pPr>
    <w:rPr>
      <w:rFonts w:ascii="Times New Roman" w:hAnsi="Times New Roman"/>
      <w:sz w:val="2"/>
      <w:szCs w:val="20"/>
      <w:lang w:val="x-none"/>
    </w:rPr>
  </w:style>
  <w:style w:type="character" w:styleId="DokumentstrukturZchn" w:customStyle="1">
    <w:name w:val="Dokumentstruktur Zchn"/>
    <w:link w:val="Dokumentstruktur"/>
    <w:semiHidden/>
    <w:locked/>
    <w:rsid w:val="00355D62"/>
    <w:rPr>
      <w:rFonts w:cs="Times New Roman"/>
      <w:sz w:val="2"/>
      <w:lang w:val="x-none" w:eastAsia="en-US"/>
    </w:rPr>
  </w:style>
  <w:style w:type="paragraph" w:styleId="Text" w:customStyle="1">
    <w:name w:val="Text"/>
    <w:basedOn w:val="Standard"/>
    <w:rsid w:val="00E23BFD"/>
    <w:pPr>
      <w:spacing w:after="140"/>
      <w:ind w:left="2268"/>
      <w:jc w:val="both"/>
    </w:pPr>
    <w:rPr>
      <w:rFonts w:cs="Arial"/>
      <w:color w:val="000000"/>
      <w:kern w:val="28"/>
      <w:sz w:val="24"/>
      <w:lang w:eastAsia="de-DE"/>
    </w:rPr>
  </w:style>
  <w:style w:type="paragraph" w:styleId="level30" w:customStyle="1">
    <w:name w:val="level3"/>
    <w:basedOn w:val="Standard"/>
    <w:rsid w:val="0019203B"/>
    <w:pPr>
      <w:spacing w:before="100" w:beforeAutospacing="1" w:after="100" w:afterAutospacing="1"/>
    </w:pPr>
    <w:rPr>
      <w:rFonts w:ascii="Times New Roman" w:hAnsi="Times New Roman"/>
      <w:sz w:val="24"/>
      <w:lang w:eastAsia="de-DE"/>
    </w:rPr>
  </w:style>
  <w:style w:type="paragraph" w:styleId="level40" w:customStyle="1">
    <w:name w:val="level4"/>
    <w:basedOn w:val="Standard"/>
    <w:rsid w:val="0019203B"/>
    <w:pPr>
      <w:spacing w:before="100" w:beforeAutospacing="1" w:after="100" w:afterAutospacing="1"/>
    </w:pPr>
    <w:rPr>
      <w:rFonts w:ascii="Times New Roman" w:hAnsi="Times New Roman"/>
      <w:sz w:val="24"/>
      <w:lang w:eastAsia="de-DE"/>
    </w:rPr>
  </w:style>
  <w:style w:type="paragraph" w:styleId="berarbeitung1" w:customStyle="1">
    <w:name w:val="Überarbeitung1"/>
    <w:hidden/>
    <w:uiPriority w:val="99"/>
    <w:semiHidden/>
    <w:rsid w:val="00824821"/>
    <w:rPr>
      <w:rFonts w:ascii="Arial" w:hAnsi="Arial"/>
      <w:szCs w:val="24"/>
      <w:lang w:eastAsia="en-US"/>
    </w:rPr>
  </w:style>
  <w:style w:type="paragraph" w:styleId="berarbeitung">
    <w:name w:val="Revision"/>
    <w:hidden/>
    <w:uiPriority w:val="99"/>
    <w:semiHidden/>
    <w:rsid w:val="0075076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4EE97097E9DC47B202BBDDE380CFE4" ma:contentTypeVersion="7" ma:contentTypeDescription="Ein neues Dokument erstellen." ma:contentTypeScope="" ma:versionID="ff8f28159f9d3630c0def986e92a2f63">
  <xsd:schema xmlns:xsd="http://www.w3.org/2001/XMLSchema" xmlns:xs="http://www.w3.org/2001/XMLSchema" xmlns:p="http://schemas.microsoft.com/office/2006/metadata/properties" xmlns:ns2="7bc5bda2-8c3b-4250-a2ad-eb9ab13d6476" targetNamespace="http://schemas.microsoft.com/office/2006/metadata/properties" ma:root="true" ma:fieldsID="82c9622cf3f72b27da59ea8ea7682eb1" ns2:_="">
    <xsd:import namespace="7bc5bda2-8c3b-4250-a2ad-eb9ab13d64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5bda2-8c3b-4250-a2ad-eb9ab13d6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D6A3C-7625-42DA-8217-6E9CEABCDF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BD0A02-5D1E-412C-9C81-CA9680B0DDB5}">
  <ds:schemaRefs>
    <ds:schemaRef ds:uri="http://schemas.microsoft.com/sharepoint/v3/contenttype/forms"/>
  </ds:schemaRefs>
</ds:datastoreItem>
</file>

<file path=customXml/itemProps3.xml><?xml version="1.0" encoding="utf-8"?>
<ds:datastoreItem xmlns:ds="http://schemas.openxmlformats.org/officeDocument/2006/customXml" ds:itemID="{03DC3A82-D12A-4233-926C-4934B4FD7A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Tele2</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Vereinbarung Vorabstimmung</dc:title>
  <dc:creator>Andre Rochlitzer</dc:creator>
  <lastModifiedBy>Höfer, Holger</lastModifiedBy>
  <revision>16</revision>
  <lastPrinted>2013-10-13T17:17:00.0000000Z</lastPrinted>
  <dcterms:created xsi:type="dcterms:W3CDTF">2021-10-29T08:47:00.0000000Z</dcterms:created>
  <dcterms:modified xsi:type="dcterms:W3CDTF">2022-09-06T06:53:34.6334742Z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D">
    <vt:lpwstr>09001dc88886febc</vt:lpwstr>
  </property>
  <property fmtid="{D5CDD505-2E9C-101B-9397-08002B2CF9AE}" pid="3" name="Document Number">
    <vt:lpwstr>A12726099</vt:lpwstr>
  </property>
  <property fmtid="{D5CDD505-2E9C-101B-9397-08002B2CF9AE}" pid="4" name="Version">
    <vt:lpwstr>4.0</vt:lpwstr>
  </property>
  <property fmtid="{D5CDD505-2E9C-101B-9397-08002B2CF9AE}" pid="5" name="Last Modified">
    <vt:lpwstr>22 Dez 2010</vt:lpwstr>
  </property>
  <property fmtid="{D5CDD505-2E9C-101B-9397-08002B2CF9AE}" pid="6" name="Matter Number">
    <vt:lpwstr>L-161299</vt:lpwstr>
  </property>
  <property fmtid="{D5CDD505-2E9C-101B-9397-08002B2CF9AE}" pid="7" name="Client Code">
    <vt:lpwstr>10294020</vt:lpwstr>
  </property>
  <property fmtid="{D5CDD505-2E9C-101B-9397-08002B2CF9AE}" pid="8" name="Mode">
    <vt:lpwstr>SendAs</vt:lpwstr>
  </property>
  <property fmtid="{D5CDD505-2E9C-101B-9397-08002B2CF9AE}" pid="9" name="DEDocumentLocation">
    <vt:lpwstr>H:\Documentum\__Viewed\09001dc88886febc\Other Services Agreement.doc</vt:lpwstr>
  </property>
  <property fmtid="{D5CDD505-2E9C-101B-9397-08002B2CF9AE}" pid="10" name="SuppressFooterUpdate">
    <vt:bool>true</vt:bool>
  </property>
  <property fmtid="{D5CDD505-2E9C-101B-9397-08002B2CF9AE}" pid="11" name="WCFooterVersion">
    <vt:i4>1</vt:i4>
  </property>
  <property fmtid="{D5CDD505-2E9C-101B-9397-08002B2CF9AE}" pid="12" name="NRT_DocNumber">
    <vt:lpwstr>312160</vt:lpwstr>
  </property>
  <property fmtid="{D5CDD505-2E9C-101B-9397-08002B2CF9AE}" pid="13" name="NRT_DocVersion">
    <vt:lpwstr>1</vt:lpwstr>
  </property>
  <property fmtid="{D5CDD505-2E9C-101B-9397-08002B2CF9AE}" pid="14" name="NRT_DocName">
    <vt:lpwstr>2011-12-07 Other Services Agreement</vt:lpwstr>
  </property>
  <property fmtid="{D5CDD505-2E9C-101B-9397-08002B2CF9AE}" pid="15" name="NRT_AuthorDescription">
    <vt:lpwstr>Dießelmeier, Sandra</vt:lpwstr>
  </property>
  <property fmtid="{D5CDD505-2E9C-101B-9397-08002B2CF9AE}" pid="16" name="NRT_Author">
    <vt:lpwstr>DIESSSA</vt:lpwstr>
  </property>
  <property fmtid="{D5CDD505-2E9C-101B-9397-08002B2CF9AE}" pid="17" name="NRT_OperatorDescription">
    <vt:lpwstr>Dießelmeier, Sandra</vt:lpwstr>
  </property>
  <property fmtid="{D5CDD505-2E9C-101B-9397-08002B2CF9AE}" pid="18" name="NRT_Operator">
    <vt:lpwstr>DIESSSA</vt:lpwstr>
  </property>
  <property fmtid="{D5CDD505-2E9C-101B-9397-08002B2CF9AE}" pid="19" name="NRT_ELITE_Client">
    <vt:lpwstr>7557853</vt:lpwstr>
  </property>
  <property fmtid="{D5CDD505-2E9C-101B-9397-08002B2CF9AE}" pid="20" name="NRT_ELITE_Matter">
    <vt:lpwstr>0050</vt:lpwstr>
  </property>
  <property fmtid="{D5CDD505-2E9C-101B-9397-08002B2CF9AE}" pid="21" name="pEliteMatter">
    <vt:lpwstr>7557853.0050</vt:lpwstr>
  </property>
  <property fmtid="{D5CDD505-2E9C-101B-9397-08002B2CF9AE}" pid="22" name="NRT_LAS_Mandant">
    <vt:lpwstr>QSC</vt:lpwstr>
  </property>
  <property fmtid="{D5CDD505-2E9C-101B-9397-08002B2CF9AE}" pid="23" name="NRT_LAS_Akte">
    <vt:lpwstr>U100075</vt:lpwstr>
  </property>
  <property fmtid="{D5CDD505-2E9C-101B-9397-08002B2CF9AE}" pid="24" name="NRT_Database">
    <vt:lpwstr>DUESSELDORF</vt:lpwstr>
  </property>
  <property fmtid="{D5CDD505-2E9C-101B-9397-08002B2CF9AE}" pid="25" name="pDokNummer">
    <vt:lpwstr>312160_1 [DUESSELDORF]</vt:lpwstr>
  </property>
  <property fmtid="{D5CDD505-2E9C-101B-9397-08002B2CF9AE}" pid="26" name="pDokCod">
    <vt:lpwstr>QSC.U100075.DIESSSA</vt:lpwstr>
  </property>
  <property fmtid="{D5CDD505-2E9C-101B-9397-08002B2CF9AE}" pid="27" name="dvarThisIsEBKDocument">
    <vt:lpwstr/>
  </property>
  <property fmtid="{D5CDD505-2E9C-101B-9397-08002B2CF9AE}" pid="28" name="ContentTypeId">
    <vt:lpwstr>0x010100B14EE97097E9DC47B202BBDDE380CFE4</vt:lpwstr>
  </property>
</Properties>
</file>