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21962" w14:textId="6B412123" w:rsidR="00404FAC" w:rsidRPr="00853D84" w:rsidRDefault="00404FAC" w:rsidP="00404FAC">
      <w:pPr>
        <w:pStyle w:val="Title"/>
        <w:rPr>
          <w:lang w:val="en-GB"/>
        </w:rPr>
      </w:pPr>
      <w:r w:rsidRPr="00853D84">
        <w:rPr>
          <w:lang w:val="en-GB"/>
        </w:rPr>
        <w:t>Clearing Platform Specification</w:t>
      </w:r>
    </w:p>
    <w:p w14:paraId="77BD4CCD" w14:textId="6EE38220" w:rsidR="00404FAC" w:rsidRPr="00853D84" w:rsidRDefault="00404FAC" w:rsidP="00404FAC">
      <w:pPr>
        <w:pStyle w:val="Subtitle"/>
        <w:rPr>
          <w:lang w:val="en-GB"/>
        </w:rPr>
      </w:pPr>
      <w:r w:rsidRPr="00853D84">
        <w:rPr>
          <w:lang w:val="en-GB"/>
        </w:rPr>
        <w:t>Non</w:t>
      </w:r>
      <w:r w:rsidR="00A438A4">
        <w:rPr>
          <w:lang w:val="en-GB"/>
        </w:rPr>
        <w:t>-</w:t>
      </w:r>
      <w:r w:rsidRPr="00853D84">
        <w:rPr>
          <w:lang w:val="en-GB"/>
        </w:rPr>
        <w:t xml:space="preserve">functional </w:t>
      </w:r>
      <w:r w:rsidR="00D66D6D">
        <w:rPr>
          <w:lang w:val="en-GB"/>
        </w:rPr>
        <w:t>R</w:t>
      </w:r>
      <w:r w:rsidRPr="00853D84">
        <w:rPr>
          <w:lang w:val="en-GB"/>
        </w:rPr>
        <w:t>equirements</w:t>
      </w:r>
    </w:p>
    <w:p w14:paraId="34383D73" w14:textId="77777777" w:rsidR="00404FAC" w:rsidRPr="00853D84" w:rsidRDefault="00404FAC" w:rsidP="00404FAC">
      <w:pPr>
        <w:rPr>
          <w:b/>
          <w:bCs/>
          <w:color w:val="000000"/>
          <w:sz w:val="28"/>
          <w:szCs w:val="28"/>
          <w:lang w:val="en-GB"/>
        </w:rPr>
      </w:pPr>
    </w:p>
    <w:p w14:paraId="6C9A2AAF" w14:textId="77777777" w:rsidR="00404FAC" w:rsidRPr="00853D84" w:rsidRDefault="00404FAC" w:rsidP="00404FAC">
      <w:pPr>
        <w:rPr>
          <w:b/>
          <w:bCs/>
          <w:color w:val="000000"/>
          <w:sz w:val="28"/>
          <w:szCs w:val="28"/>
          <w:lang w:val="en-GB"/>
        </w:rPr>
      </w:pPr>
    </w:p>
    <w:p w14:paraId="71646778" w14:textId="77777777" w:rsidR="00404FAC" w:rsidRPr="00853D84" w:rsidRDefault="00404FAC" w:rsidP="00404FAC">
      <w:pPr>
        <w:rPr>
          <w:b/>
          <w:bCs/>
          <w:color w:val="000000"/>
          <w:sz w:val="28"/>
          <w:szCs w:val="28"/>
          <w:lang w:val="en-GB"/>
        </w:rPr>
      </w:pPr>
    </w:p>
    <w:p w14:paraId="33E25603" w14:textId="14405E9E" w:rsidR="00404FAC" w:rsidRPr="00853D84" w:rsidRDefault="00404FAC" w:rsidP="00404FAC">
      <w:pPr>
        <w:rPr>
          <w:b/>
          <w:bCs/>
          <w:color w:val="000000"/>
          <w:sz w:val="28"/>
          <w:szCs w:val="28"/>
          <w:lang w:val="en-GB"/>
        </w:rPr>
      </w:pPr>
      <w:r w:rsidRPr="00853D84">
        <w:rPr>
          <w:b/>
          <w:bCs/>
          <w:color w:val="000000"/>
          <w:sz w:val="28"/>
          <w:szCs w:val="28"/>
          <w:lang w:val="en-GB"/>
        </w:rPr>
        <w:t>Aut</w:t>
      </w:r>
      <w:r w:rsidR="007729D2">
        <w:rPr>
          <w:b/>
          <w:bCs/>
          <w:color w:val="000000"/>
          <w:sz w:val="28"/>
          <w:szCs w:val="28"/>
          <w:lang w:val="en-GB"/>
        </w:rPr>
        <w:t>h</w:t>
      </w:r>
      <w:r w:rsidRPr="00853D84">
        <w:rPr>
          <w:b/>
          <w:bCs/>
          <w:color w:val="000000"/>
          <w:sz w:val="28"/>
          <w:szCs w:val="28"/>
          <w:lang w:val="en-GB"/>
        </w:rPr>
        <w:t xml:space="preserve">or </w:t>
      </w:r>
    </w:p>
    <w:tbl>
      <w:tblPr>
        <w:tblW w:w="168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5" w:type="dxa"/>
          <w:left w:w="15" w:type="dxa"/>
          <w:bottom w:w="15" w:type="dxa"/>
          <w:right w:w="15" w:type="dxa"/>
        </w:tblCellMar>
        <w:tblLook w:val="04A0" w:firstRow="1" w:lastRow="0" w:firstColumn="1" w:lastColumn="0" w:noHBand="0" w:noVBand="1"/>
      </w:tblPr>
      <w:tblGrid>
        <w:gridCol w:w="3056"/>
      </w:tblGrid>
      <w:tr w:rsidR="00342F4B" w:rsidRPr="00853D84" w14:paraId="28364CE2" w14:textId="77777777" w:rsidTr="00342F4B">
        <w:trPr>
          <w:cantSplit/>
          <w:jc w:val="center"/>
        </w:trPr>
        <w:tc>
          <w:tcPr>
            <w:tcW w:w="3056" w:type="dxa"/>
            <w:tcMar>
              <w:top w:w="75" w:type="dxa"/>
              <w:left w:w="75" w:type="dxa"/>
              <w:bottom w:w="75" w:type="dxa"/>
              <w:right w:w="75" w:type="dxa"/>
            </w:tcMar>
            <w:vAlign w:val="center"/>
            <w:hideMark/>
          </w:tcPr>
          <w:p w14:paraId="0D0A8ED4" w14:textId="77777777" w:rsidR="00342F4B" w:rsidRPr="00853D84" w:rsidRDefault="00342F4B" w:rsidP="002303F1">
            <w:pPr>
              <w:pStyle w:val="NormalWeb"/>
              <w:spacing w:after="0" w:afterAutospacing="0"/>
              <w:rPr>
                <w:lang w:val="en-GB"/>
              </w:rPr>
            </w:pPr>
          </w:p>
          <w:p w14:paraId="69161768" w14:textId="77777777" w:rsidR="00342F4B" w:rsidRPr="00853D84" w:rsidRDefault="00342F4B" w:rsidP="002303F1">
            <w:pPr>
              <w:pStyle w:val="NormalWeb"/>
              <w:spacing w:after="240" w:afterAutospacing="0"/>
              <w:rPr>
                <w:lang w:val="en-GB"/>
              </w:rPr>
            </w:pPr>
          </w:p>
          <w:p w14:paraId="0F8CDA0F" w14:textId="77777777" w:rsidR="00342F4B" w:rsidRPr="00853D84" w:rsidRDefault="00342F4B" w:rsidP="002303F1">
            <w:pPr>
              <w:pStyle w:val="NormalWeb"/>
              <w:spacing w:before="0" w:beforeAutospacing="0" w:after="120" w:afterAutospacing="0"/>
              <w:rPr>
                <w:lang w:val="en-GB"/>
              </w:rPr>
            </w:pPr>
            <w:r w:rsidRPr="00853D84">
              <w:rPr>
                <w:noProof/>
                <w:lang w:val="en-GB"/>
              </w:rPr>
              <w:drawing>
                <wp:inline distT="0" distB="0" distL="0" distR="0" wp14:anchorId="0AC911DC" wp14:editId="5EBEEB6E">
                  <wp:extent cx="1866122" cy="4572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7147" cy="457451"/>
                          </a:xfrm>
                          <a:prstGeom prst="rect">
                            <a:avLst/>
                          </a:prstGeom>
                          <a:noFill/>
                          <a:ln>
                            <a:noFill/>
                          </a:ln>
                        </pic:spPr>
                      </pic:pic>
                    </a:graphicData>
                  </a:graphic>
                </wp:inline>
              </w:drawing>
            </w:r>
          </w:p>
          <w:p w14:paraId="29962CCB" w14:textId="77777777" w:rsidR="00342F4B" w:rsidRPr="00853D84" w:rsidRDefault="00342F4B" w:rsidP="002303F1">
            <w:pPr>
              <w:spacing w:after="0"/>
              <w:rPr>
                <w:lang w:val="en-GB"/>
              </w:rPr>
            </w:pPr>
            <w:r w:rsidRPr="00853D84">
              <w:rPr>
                <w:lang w:val="en-GB"/>
              </w:rPr>
              <w:t xml:space="preserve">        </w:t>
            </w:r>
            <w:r w:rsidRPr="00853D84">
              <w:rPr>
                <w:noProof/>
                <w:lang w:val="en-GB"/>
              </w:rPr>
              <w:drawing>
                <wp:inline distT="0" distB="0" distL="0" distR="0" wp14:anchorId="5D5AB1E0" wp14:editId="7B66D32F">
                  <wp:extent cx="318222" cy="466725"/>
                  <wp:effectExtent l="0" t="0" r="5715" b="0"/>
                  <wp:docPr id="6" name="Grafik 6" descr="Ein Bild, das Text, ClipAr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2" descr="Ein Bild, das Text, ClipArt, Schild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855" cy="472053"/>
                          </a:xfrm>
                          <a:prstGeom prst="rect">
                            <a:avLst/>
                          </a:prstGeom>
                          <a:noFill/>
                          <a:ln>
                            <a:noFill/>
                          </a:ln>
                        </pic:spPr>
                      </pic:pic>
                    </a:graphicData>
                  </a:graphic>
                </wp:inline>
              </w:drawing>
            </w:r>
            <w:r w:rsidRPr="00853D84">
              <w:rPr>
                <w:lang w:val="en-GB"/>
              </w:rPr>
              <w:t>             </w:t>
            </w:r>
            <w:r w:rsidRPr="00853D84">
              <w:rPr>
                <w:noProof/>
                <w:lang w:val="en-GB"/>
              </w:rPr>
              <w:drawing>
                <wp:inline distT="0" distB="0" distL="0" distR="0" wp14:anchorId="32C0B919" wp14:editId="2689B3D9">
                  <wp:extent cx="495300" cy="495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853D84">
              <w:rPr>
                <w:lang w:val="en-GB"/>
              </w:rPr>
              <w:t xml:space="preserve">  </w:t>
            </w:r>
          </w:p>
          <w:p w14:paraId="01413C32" w14:textId="77777777" w:rsidR="00342F4B" w:rsidRPr="00853D84" w:rsidRDefault="00342F4B" w:rsidP="002303F1">
            <w:pPr>
              <w:spacing w:after="0"/>
              <w:rPr>
                <w:lang w:val="en-GB"/>
              </w:rPr>
            </w:pPr>
          </w:p>
        </w:tc>
      </w:tr>
      <w:tr w:rsidR="00342F4B" w:rsidRPr="00853D84" w14:paraId="17ACEDB5" w14:textId="77777777" w:rsidTr="00342F4B">
        <w:trPr>
          <w:cantSplit/>
          <w:jc w:val="center"/>
        </w:trPr>
        <w:tc>
          <w:tcPr>
            <w:tcW w:w="3056" w:type="dxa"/>
            <w:tcMar>
              <w:top w:w="75" w:type="dxa"/>
              <w:left w:w="75" w:type="dxa"/>
              <w:bottom w:w="75" w:type="dxa"/>
              <w:right w:w="75" w:type="dxa"/>
            </w:tcMar>
            <w:hideMark/>
          </w:tcPr>
          <w:p w14:paraId="46303F4C" w14:textId="77777777" w:rsidR="00342F4B" w:rsidRPr="00853D84" w:rsidRDefault="00342F4B" w:rsidP="002303F1">
            <w:pPr>
              <w:pStyle w:val="NormalWeb"/>
              <w:spacing w:before="0" w:beforeAutospacing="0" w:after="120" w:afterAutospacing="0"/>
              <w:rPr>
                <w:rFonts w:ascii="Calibri" w:hAnsi="Calibri" w:cs="Calibri"/>
                <w:sz w:val="28"/>
                <w:szCs w:val="28"/>
                <w:lang w:val="en-GB"/>
              </w:rPr>
            </w:pPr>
            <w:r w:rsidRPr="00853D84">
              <w:rPr>
                <w:rFonts w:ascii="Calibri" w:hAnsi="Calibri" w:cs="Calibri"/>
                <w:sz w:val="28"/>
                <w:szCs w:val="28"/>
                <w:lang w:val="en-GB"/>
              </w:rPr>
              <w:t xml:space="preserve">conology GmbH </w:t>
            </w:r>
            <w:r w:rsidRPr="00853D84">
              <w:rPr>
                <w:rFonts w:ascii="Calibri" w:hAnsi="Calibri" w:cs="Calibri"/>
                <w:sz w:val="28"/>
                <w:szCs w:val="28"/>
                <w:lang w:val="en-GB"/>
              </w:rPr>
              <w:br/>
            </w:r>
          </w:p>
          <w:p w14:paraId="43F929DA" w14:textId="77777777" w:rsidR="00342F4B" w:rsidRPr="00853D84" w:rsidRDefault="00342F4B" w:rsidP="002303F1">
            <w:pPr>
              <w:pStyle w:val="NormalWeb"/>
              <w:spacing w:before="0" w:beforeAutospacing="0" w:after="120" w:afterAutospacing="0"/>
              <w:rPr>
                <w:rFonts w:ascii="Calibri" w:hAnsi="Calibri" w:cs="Calibri"/>
                <w:lang w:val="en-GB"/>
              </w:rPr>
            </w:pPr>
            <w:r w:rsidRPr="00853D84">
              <w:rPr>
                <w:rFonts w:ascii="Calibri" w:hAnsi="Calibri" w:cs="Calibri"/>
                <w:lang w:val="en-GB"/>
              </w:rPr>
              <w:t>Contact:</w:t>
            </w:r>
          </w:p>
          <w:p w14:paraId="48C76D42" w14:textId="77777777" w:rsidR="00342F4B" w:rsidRPr="00853D84" w:rsidRDefault="00342F4B" w:rsidP="002303F1">
            <w:pPr>
              <w:pStyle w:val="NormalWeb"/>
              <w:spacing w:before="0" w:beforeAutospacing="0" w:after="120" w:afterAutospacing="0"/>
              <w:rPr>
                <w:rFonts w:ascii="Calibri" w:hAnsi="Calibri" w:cs="Calibri"/>
                <w:lang w:val="en-GB"/>
              </w:rPr>
            </w:pPr>
            <w:r w:rsidRPr="00853D84">
              <w:rPr>
                <w:rFonts w:ascii="Calibri" w:hAnsi="Calibri" w:cs="Calibri"/>
                <w:lang w:val="en-GB"/>
              </w:rPr>
              <w:t>Willm Tüting</w:t>
            </w:r>
          </w:p>
          <w:p w14:paraId="25B74762" w14:textId="77777777" w:rsidR="00342F4B" w:rsidRPr="00853D84" w:rsidRDefault="00342F4B" w:rsidP="002303F1">
            <w:pPr>
              <w:pStyle w:val="NormalWeb"/>
              <w:spacing w:before="0" w:beforeAutospacing="0" w:after="120" w:afterAutospacing="0"/>
              <w:rPr>
                <w:rFonts w:ascii="Calibri" w:hAnsi="Calibri" w:cs="Calibri"/>
                <w:lang w:val="en-GB"/>
              </w:rPr>
            </w:pPr>
            <w:r w:rsidRPr="00853D84">
              <w:rPr>
                <w:rFonts w:ascii="Calibri" w:hAnsi="Calibri" w:cs="Calibri"/>
                <w:lang w:val="en-GB"/>
              </w:rPr>
              <w:t>Tel.: +49 (0) 175 520 96 02</w:t>
            </w:r>
          </w:p>
          <w:p w14:paraId="033A3C3E" w14:textId="77777777" w:rsidR="00342F4B" w:rsidRPr="00853D84" w:rsidRDefault="00342F4B" w:rsidP="002303F1">
            <w:pPr>
              <w:pStyle w:val="NormalWeb"/>
              <w:spacing w:before="0" w:beforeAutospacing="0" w:after="120" w:afterAutospacing="0"/>
              <w:rPr>
                <w:rFonts w:ascii="Calibri" w:hAnsi="Calibri" w:cs="Calibri"/>
                <w:lang w:val="en-GB"/>
              </w:rPr>
            </w:pPr>
            <w:hyperlink r:id="rId14" w:history="1">
              <w:r w:rsidRPr="00853D84">
                <w:rPr>
                  <w:rStyle w:val="Hyperlink"/>
                  <w:rFonts w:ascii="Calibri" w:hAnsi="Calibri" w:cs="Calibri"/>
                  <w:lang w:val="en-GB"/>
                </w:rPr>
                <w:t>willm.tueting@conology.net</w:t>
              </w:r>
            </w:hyperlink>
          </w:p>
          <w:p w14:paraId="6C25CE7E" w14:textId="77777777" w:rsidR="00342F4B" w:rsidRPr="00853D84" w:rsidRDefault="00342F4B" w:rsidP="002303F1">
            <w:pPr>
              <w:pStyle w:val="NormalWeb"/>
              <w:spacing w:before="0" w:beforeAutospacing="0" w:after="120" w:afterAutospacing="0"/>
              <w:rPr>
                <w:rFonts w:ascii="Calibri" w:hAnsi="Calibri" w:cs="Calibri"/>
                <w:lang w:val="en-GB"/>
              </w:rPr>
            </w:pPr>
          </w:p>
        </w:tc>
      </w:tr>
    </w:tbl>
    <w:p w14:paraId="6027FA2A" w14:textId="77777777" w:rsidR="00404FAC" w:rsidRPr="00342F4B" w:rsidRDefault="00404FAC" w:rsidP="00404FAC">
      <w:pPr>
        <w:spacing w:before="0" w:beforeAutospacing="0" w:after="0" w:afterAutospacing="0"/>
      </w:pPr>
    </w:p>
    <w:p w14:paraId="78B50D0C" w14:textId="77777777" w:rsidR="00404FAC" w:rsidRPr="00342F4B" w:rsidRDefault="00404FAC" w:rsidP="00404FAC">
      <w:pPr>
        <w:spacing w:before="0" w:beforeAutospacing="0" w:after="0" w:afterAutospacing="0"/>
      </w:pPr>
    </w:p>
    <w:p w14:paraId="4596368B" w14:textId="2354CBB9" w:rsidR="00404FAC" w:rsidRPr="00853D84" w:rsidRDefault="00E26DC0" w:rsidP="00404FAC">
      <w:pPr>
        <w:spacing w:before="0" w:beforeAutospacing="0" w:after="0" w:afterAutospacing="0"/>
        <w:rPr>
          <w:rFonts w:eastAsia="Times New Roman"/>
          <w:b/>
          <w:bCs/>
          <w:kern w:val="36"/>
          <w:sz w:val="44"/>
          <w:szCs w:val="44"/>
          <w:lang w:val="en-GB"/>
        </w:rPr>
      </w:pPr>
      <w:r w:rsidRPr="00E26DC0">
        <w:rPr>
          <w:lang w:val="en-GB"/>
        </w:rPr>
        <w:t xml:space="preserve">Status of this document: </w:t>
      </w:r>
      <w:r w:rsidR="00E06504">
        <w:rPr>
          <w:lang w:val="en-GB"/>
        </w:rPr>
        <w:t>25</w:t>
      </w:r>
      <w:r w:rsidR="00DE5FB7">
        <w:rPr>
          <w:lang w:val="en-GB"/>
        </w:rPr>
        <w:t>.09</w:t>
      </w:r>
      <w:r>
        <w:rPr>
          <w:lang w:val="en-GB"/>
        </w:rPr>
        <w:t>.</w:t>
      </w:r>
      <w:r w:rsidRPr="00E26DC0">
        <w:rPr>
          <w:lang w:val="en-GB"/>
        </w:rPr>
        <w:t>202</w:t>
      </w:r>
      <w:r w:rsidR="00E06504">
        <w:rPr>
          <w:lang w:val="en-GB"/>
        </w:rPr>
        <w:t>3</w:t>
      </w:r>
      <w:r w:rsidR="00404FAC" w:rsidRPr="00853D84">
        <w:rPr>
          <w:lang w:val="en-GB"/>
        </w:rPr>
        <w:br w:type="page"/>
      </w:r>
    </w:p>
    <w:sdt>
      <w:sdtPr>
        <w:rPr>
          <w:rFonts w:asciiTheme="minorHAnsi" w:eastAsiaTheme="minorEastAsia" w:hAnsiTheme="minorHAnsi" w:cstheme="minorHAnsi"/>
          <w:color w:val="auto"/>
          <w:sz w:val="22"/>
          <w:szCs w:val="22"/>
          <w:lang w:val="en-GB"/>
        </w:rPr>
        <w:id w:val="17131208"/>
        <w:docPartObj>
          <w:docPartGallery w:val="Table of Contents"/>
          <w:docPartUnique/>
        </w:docPartObj>
      </w:sdtPr>
      <w:sdtEndPr>
        <w:rPr>
          <w:b/>
          <w:bCs/>
        </w:rPr>
      </w:sdtEndPr>
      <w:sdtContent>
        <w:p w14:paraId="477A021D" w14:textId="77777777" w:rsidR="00404FAC" w:rsidRPr="00853D84" w:rsidRDefault="00404FAC" w:rsidP="00404FAC">
          <w:pPr>
            <w:pStyle w:val="TOCHeading"/>
            <w:rPr>
              <w:lang w:val="en-GB"/>
            </w:rPr>
          </w:pPr>
          <w:proofErr w:type="spellStart"/>
          <w:r w:rsidRPr="00853D84">
            <w:rPr>
              <w:lang w:val="en-GB"/>
            </w:rPr>
            <w:t>Inhalt</w:t>
          </w:r>
          <w:proofErr w:type="spellEnd"/>
        </w:p>
        <w:p w14:paraId="2E0D147B" w14:textId="63E97610" w:rsidR="00AF7427" w:rsidRDefault="00404FAC">
          <w:pPr>
            <w:pStyle w:val="TOC1"/>
            <w:tabs>
              <w:tab w:val="left" w:pos="440"/>
              <w:tab w:val="right" w:leader="dot" w:pos="9062"/>
            </w:tabs>
            <w:rPr>
              <w:rFonts w:cstheme="minorBidi"/>
              <w:noProof/>
            </w:rPr>
          </w:pPr>
          <w:r w:rsidRPr="00853D84">
            <w:rPr>
              <w:lang w:val="en-GB"/>
            </w:rPr>
            <w:fldChar w:fldCharType="begin"/>
          </w:r>
          <w:r w:rsidRPr="00853D84">
            <w:rPr>
              <w:lang w:val="en-GB"/>
            </w:rPr>
            <w:instrText xml:space="preserve"> TOC \o "1-3" \h \z \u </w:instrText>
          </w:r>
          <w:r w:rsidRPr="00853D84">
            <w:rPr>
              <w:lang w:val="en-GB"/>
            </w:rPr>
            <w:fldChar w:fldCharType="separate"/>
          </w:r>
          <w:hyperlink w:anchor="_Toc107915833" w:history="1">
            <w:r w:rsidR="00AF7427" w:rsidRPr="00DA493C">
              <w:rPr>
                <w:rStyle w:val="Hyperlink"/>
                <w:noProof/>
                <w:lang w:val="en-GB"/>
              </w:rPr>
              <w:t>1</w:t>
            </w:r>
            <w:r w:rsidR="00AF7427">
              <w:rPr>
                <w:rFonts w:cstheme="minorBidi"/>
                <w:noProof/>
              </w:rPr>
              <w:tab/>
            </w:r>
            <w:r w:rsidR="00AF7427" w:rsidRPr="00DA493C">
              <w:rPr>
                <w:rStyle w:val="Hyperlink"/>
                <w:noProof/>
                <w:lang w:val="en-GB"/>
              </w:rPr>
              <w:t>Security</w:t>
            </w:r>
            <w:r w:rsidR="00AF7427">
              <w:rPr>
                <w:noProof/>
                <w:webHidden/>
              </w:rPr>
              <w:tab/>
            </w:r>
            <w:r w:rsidR="00AF7427">
              <w:rPr>
                <w:noProof/>
                <w:webHidden/>
              </w:rPr>
              <w:fldChar w:fldCharType="begin"/>
            </w:r>
            <w:r w:rsidR="00AF7427">
              <w:rPr>
                <w:noProof/>
                <w:webHidden/>
              </w:rPr>
              <w:instrText xml:space="preserve"> PAGEREF _Toc107915833 \h </w:instrText>
            </w:r>
            <w:r w:rsidR="00AF7427">
              <w:rPr>
                <w:noProof/>
                <w:webHidden/>
              </w:rPr>
            </w:r>
            <w:r w:rsidR="00AF7427">
              <w:rPr>
                <w:noProof/>
                <w:webHidden/>
              </w:rPr>
              <w:fldChar w:fldCharType="separate"/>
            </w:r>
            <w:r w:rsidR="004155E4">
              <w:rPr>
                <w:noProof/>
                <w:webHidden/>
              </w:rPr>
              <w:t>3</w:t>
            </w:r>
            <w:r w:rsidR="00AF7427">
              <w:rPr>
                <w:noProof/>
                <w:webHidden/>
              </w:rPr>
              <w:fldChar w:fldCharType="end"/>
            </w:r>
          </w:hyperlink>
        </w:p>
        <w:p w14:paraId="46D78F4B" w14:textId="0DC2A6D5" w:rsidR="00AF7427" w:rsidRDefault="002303F1">
          <w:pPr>
            <w:pStyle w:val="TOC2"/>
            <w:tabs>
              <w:tab w:val="left" w:pos="880"/>
              <w:tab w:val="right" w:leader="dot" w:pos="9062"/>
            </w:tabs>
            <w:rPr>
              <w:rFonts w:cstheme="minorBidi"/>
              <w:noProof/>
            </w:rPr>
          </w:pPr>
          <w:hyperlink w:anchor="_Toc107915834" w:history="1">
            <w:r w:rsidR="00AF7427" w:rsidRPr="00DA493C">
              <w:rPr>
                <w:rStyle w:val="Hyperlink"/>
                <w:noProof/>
                <w:lang w:val="en-GB"/>
              </w:rPr>
              <w:t>1.1</w:t>
            </w:r>
            <w:r w:rsidR="00AF7427">
              <w:rPr>
                <w:rFonts w:cstheme="minorBidi"/>
                <w:noProof/>
              </w:rPr>
              <w:tab/>
            </w:r>
            <w:r w:rsidR="00AF7427" w:rsidRPr="00DA493C">
              <w:rPr>
                <w:rStyle w:val="Hyperlink"/>
                <w:noProof/>
                <w:lang w:val="en-GB"/>
              </w:rPr>
              <w:t>Objectives</w:t>
            </w:r>
            <w:r w:rsidR="00AF7427">
              <w:rPr>
                <w:noProof/>
                <w:webHidden/>
              </w:rPr>
              <w:tab/>
            </w:r>
            <w:r w:rsidR="00AF7427">
              <w:rPr>
                <w:noProof/>
                <w:webHidden/>
              </w:rPr>
              <w:fldChar w:fldCharType="begin"/>
            </w:r>
            <w:r w:rsidR="00AF7427">
              <w:rPr>
                <w:noProof/>
                <w:webHidden/>
              </w:rPr>
              <w:instrText xml:space="preserve"> PAGEREF _Toc107915834 \h </w:instrText>
            </w:r>
            <w:r w:rsidR="00AF7427">
              <w:rPr>
                <w:noProof/>
                <w:webHidden/>
              </w:rPr>
            </w:r>
            <w:r w:rsidR="00AF7427">
              <w:rPr>
                <w:noProof/>
                <w:webHidden/>
              </w:rPr>
              <w:fldChar w:fldCharType="separate"/>
            </w:r>
            <w:r w:rsidR="004155E4">
              <w:rPr>
                <w:noProof/>
                <w:webHidden/>
              </w:rPr>
              <w:t>3</w:t>
            </w:r>
            <w:r w:rsidR="00AF7427">
              <w:rPr>
                <w:noProof/>
                <w:webHidden/>
              </w:rPr>
              <w:fldChar w:fldCharType="end"/>
            </w:r>
          </w:hyperlink>
        </w:p>
        <w:p w14:paraId="56A11D91" w14:textId="7608816D" w:rsidR="00AF7427" w:rsidRDefault="002303F1">
          <w:pPr>
            <w:pStyle w:val="TOC2"/>
            <w:tabs>
              <w:tab w:val="left" w:pos="880"/>
              <w:tab w:val="right" w:leader="dot" w:pos="9062"/>
            </w:tabs>
            <w:rPr>
              <w:rFonts w:cstheme="minorBidi"/>
              <w:noProof/>
            </w:rPr>
          </w:pPr>
          <w:hyperlink w:anchor="_Toc107915835" w:history="1">
            <w:r w:rsidR="00AF7427" w:rsidRPr="00DA493C">
              <w:rPr>
                <w:rStyle w:val="Hyperlink"/>
                <w:rFonts w:eastAsia="Times New Roman"/>
                <w:noProof/>
                <w:lang w:val="en-GB"/>
              </w:rPr>
              <w:t>1.2</w:t>
            </w:r>
            <w:r w:rsidR="00AF7427">
              <w:rPr>
                <w:rFonts w:cstheme="minorBidi"/>
                <w:noProof/>
              </w:rPr>
              <w:tab/>
            </w:r>
            <w:r w:rsidR="00AF7427" w:rsidRPr="00DA493C">
              <w:rPr>
                <w:rStyle w:val="Hyperlink"/>
                <w:rFonts w:eastAsia="Times New Roman"/>
                <w:noProof/>
                <w:lang w:val="en-GB"/>
              </w:rPr>
              <w:t>Measures</w:t>
            </w:r>
            <w:r w:rsidR="00AF7427">
              <w:rPr>
                <w:noProof/>
                <w:webHidden/>
              </w:rPr>
              <w:tab/>
            </w:r>
            <w:r w:rsidR="00AF7427">
              <w:rPr>
                <w:noProof/>
                <w:webHidden/>
              </w:rPr>
              <w:fldChar w:fldCharType="begin"/>
            </w:r>
            <w:r w:rsidR="00AF7427">
              <w:rPr>
                <w:noProof/>
                <w:webHidden/>
              </w:rPr>
              <w:instrText xml:space="preserve"> PAGEREF _Toc107915835 \h </w:instrText>
            </w:r>
            <w:r w:rsidR="00AF7427">
              <w:rPr>
                <w:noProof/>
                <w:webHidden/>
              </w:rPr>
            </w:r>
            <w:r w:rsidR="00AF7427">
              <w:rPr>
                <w:noProof/>
                <w:webHidden/>
              </w:rPr>
              <w:fldChar w:fldCharType="separate"/>
            </w:r>
            <w:r w:rsidR="004155E4">
              <w:rPr>
                <w:noProof/>
                <w:webHidden/>
              </w:rPr>
              <w:t>4</w:t>
            </w:r>
            <w:r w:rsidR="00AF7427">
              <w:rPr>
                <w:noProof/>
                <w:webHidden/>
              </w:rPr>
              <w:fldChar w:fldCharType="end"/>
            </w:r>
          </w:hyperlink>
        </w:p>
        <w:p w14:paraId="7DF81E09" w14:textId="014D8061" w:rsidR="00AF7427" w:rsidRDefault="002303F1">
          <w:pPr>
            <w:pStyle w:val="TOC3"/>
            <w:tabs>
              <w:tab w:val="left" w:pos="1320"/>
              <w:tab w:val="right" w:leader="dot" w:pos="9062"/>
            </w:tabs>
            <w:rPr>
              <w:rFonts w:cstheme="minorBidi"/>
              <w:noProof/>
            </w:rPr>
          </w:pPr>
          <w:hyperlink w:anchor="_Toc107915836" w:history="1">
            <w:r w:rsidR="00AF7427" w:rsidRPr="00DA493C">
              <w:rPr>
                <w:rStyle w:val="Hyperlink"/>
                <w:rFonts w:eastAsia="Times New Roman"/>
                <w:noProof/>
                <w:lang w:val="en-GB"/>
              </w:rPr>
              <w:t>1.2.1</w:t>
            </w:r>
            <w:r w:rsidR="00AF7427">
              <w:rPr>
                <w:rFonts w:cstheme="minorBidi"/>
                <w:noProof/>
              </w:rPr>
              <w:tab/>
            </w:r>
            <w:r w:rsidR="00AF7427" w:rsidRPr="00DA493C">
              <w:rPr>
                <w:rStyle w:val="Hyperlink"/>
                <w:rFonts w:eastAsia="Times New Roman"/>
                <w:noProof/>
                <w:lang w:val="en-GB"/>
              </w:rPr>
              <w:t>Encryption</w:t>
            </w:r>
            <w:r w:rsidR="00AF7427">
              <w:rPr>
                <w:noProof/>
                <w:webHidden/>
              </w:rPr>
              <w:tab/>
            </w:r>
            <w:r w:rsidR="00AF7427">
              <w:rPr>
                <w:noProof/>
                <w:webHidden/>
              </w:rPr>
              <w:fldChar w:fldCharType="begin"/>
            </w:r>
            <w:r w:rsidR="00AF7427">
              <w:rPr>
                <w:noProof/>
                <w:webHidden/>
              </w:rPr>
              <w:instrText xml:space="preserve"> PAGEREF _Toc107915836 \h </w:instrText>
            </w:r>
            <w:r w:rsidR="00AF7427">
              <w:rPr>
                <w:noProof/>
                <w:webHidden/>
              </w:rPr>
            </w:r>
            <w:r w:rsidR="00AF7427">
              <w:rPr>
                <w:noProof/>
                <w:webHidden/>
              </w:rPr>
              <w:fldChar w:fldCharType="separate"/>
            </w:r>
            <w:r w:rsidR="004155E4">
              <w:rPr>
                <w:noProof/>
                <w:webHidden/>
              </w:rPr>
              <w:t>4</w:t>
            </w:r>
            <w:r w:rsidR="00AF7427">
              <w:rPr>
                <w:noProof/>
                <w:webHidden/>
              </w:rPr>
              <w:fldChar w:fldCharType="end"/>
            </w:r>
          </w:hyperlink>
        </w:p>
        <w:p w14:paraId="32A541B9" w14:textId="3DD85870" w:rsidR="00AF7427" w:rsidRDefault="002303F1">
          <w:pPr>
            <w:pStyle w:val="TOC3"/>
            <w:tabs>
              <w:tab w:val="left" w:pos="1320"/>
              <w:tab w:val="right" w:leader="dot" w:pos="9062"/>
            </w:tabs>
            <w:rPr>
              <w:rFonts w:cstheme="minorBidi"/>
              <w:noProof/>
            </w:rPr>
          </w:pPr>
          <w:hyperlink w:anchor="_Toc107915837" w:history="1">
            <w:r w:rsidR="00AF7427" w:rsidRPr="00DA493C">
              <w:rPr>
                <w:rStyle w:val="Hyperlink"/>
                <w:rFonts w:eastAsia="Times New Roman"/>
                <w:noProof/>
                <w:lang w:val="en-GB"/>
              </w:rPr>
              <w:t>1.2.2</w:t>
            </w:r>
            <w:r w:rsidR="00AF7427">
              <w:rPr>
                <w:rFonts w:cstheme="minorBidi"/>
                <w:noProof/>
              </w:rPr>
              <w:tab/>
            </w:r>
            <w:r w:rsidR="00AF7427" w:rsidRPr="00DA493C">
              <w:rPr>
                <w:rStyle w:val="Hyperlink"/>
                <w:noProof/>
                <w:lang w:val="en-GB"/>
              </w:rPr>
              <w:t>Authentication</w:t>
            </w:r>
            <w:r w:rsidR="00AF7427">
              <w:rPr>
                <w:noProof/>
                <w:webHidden/>
              </w:rPr>
              <w:tab/>
            </w:r>
            <w:r w:rsidR="00AF7427">
              <w:rPr>
                <w:noProof/>
                <w:webHidden/>
              </w:rPr>
              <w:fldChar w:fldCharType="begin"/>
            </w:r>
            <w:r w:rsidR="00AF7427">
              <w:rPr>
                <w:noProof/>
                <w:webHidden/>
              </w:rPr>
              <w:instrText xml:space="preserve"> PAGEREF _Toc107915837 \h </w:instrText>
            </w:r>
            <w:r w:rsidR="00AF7427">
              <w:rPr>
                <w:noProof/>
                <w:webHidden/>
              </w:rPr>
            </w:r>
            <w:r w:rsidR="00AF7427">
              <w:rPr>
                <w:noProof/>
                <w:webHidden/>
              </w:rPr>
              <w:fldChar w:fldCharType="separate"/>
            </w:r>
            <w:r w:rsidR="004155E4">
              <w:rPr>
                <w:noProof/>
                <w:webHidden/>
              </w:rPr>
              <w:t>4</w:t>
            </w:r>
            <w:r w:rsidR="00AF7427">
              <w:rPr>
                <w:noProof/>
                <w:webHidden/>
              </w:rPr>
              <w:fldChar w:fldCharType="end"/>
            </w:r>
          </w:hyperlink>
        </w:p>
        <w:p w14:paraId="08D712D4" w14:textId="484F0B10" w:rsidR="00AF7427" w:rsidRDefault="002303F1">
          <w:pPr>
            <w:pStyle w:val="TOC3"/>
            <w:tabs>
              <w:tab w:val="left" w:pos="1320"/>
              <w:tab w:val="right" w:leader="dot" w:pos="9062"/>
            </w:tabs>
            <w:rPr>
              <w:rFonts w:cstheme="minorBidi"/>
              <w:noProof/>
            </w:rPr>
          </w:pPr>
          <w:hyperlink w:anchor="_Toc107915838" w:history="1">
            <w:r w:rsidR="00AF7427" w:rsidRPr="00DA493C">
              <w:rPr>
                <w:rStyle w:val="Hyperlink"/>
                <w:rFonts w:eastAsia="Times New Roman"/>
                <w:noProof/>
                <w:lang w:val="en-GB"/>
              </w:rPr>
              <w:t>1.2.3</w:t>
            </w:r>
            <w:r w:rsidR="00AF7427">
              <w:rPr>
                <w:rFonts w:cstheme="minorBidi"/>
                <w:noProof/>
              </w:rPr>
              <w:tab/>
            </w:r>
            <w:r w:rsidR="00AF7427" w:rsidRPr="00DA493C">
              <w:rPr>
                <w:rStyle w:val="Hyperlink"/>
                <w:rFonts w:eastAsia="Times New Roman"/>
                <w:noProof/>
                <w:lang w:val="en-GB"/>
              </w:rPr>
              <w:t>Authentication methods in detail</w:t>
            </w:r>
            <w:r w:rsidR="00AF7427">
              <w:rPr>
                <w:noProof/>
                <w:webHidden/>
              </w:rPr>
              <w:tab/>
            </w:r>
            <w:r w:rsidR="00AF7427">
              <w:rPr>
                <w:noProof/>
                <w:webHidden/>
              </w:rPr>
              <w:fldChar w:fldCharType="begin"/>
            </w:r>
            <w:r w:rsidR="00AF7427">
              <w:rPr>
                <w:noProof/>
                <w:webHidden/>
              </w:rPr>
              <w:instrText xml:space="preserve"> PAGEREF _Toc107915838 \h </w:instrText>
            </w:r>
            <w:r w:rsidR="00AF7427">
              <w:rPr>
                <w:noProof/>
                <w:webHidden/>
              </w:rPr>
            </w:r>
            <w:r w:rsidR="00AF7427">
              <w:rPr>
                <w:noProof/>
                <w:webHidden/>
              </w:rPr>
              <w:fldChar w:fldCharType="separate"/>
            </w:r>
            <w:r w:rsidR="004155E4">
              <w:rPr>
                <w:noProof/>
                <w:webHidden/>
              </w:rPr>
              <w:t>5</w:t>
            </w:r>
            <w:r w:rsidR="00AF7427">
              <w:rPr>
                <w:noProof/>
                <w:webHidden/>
              </w:rPr>
              <w:fldChar w:fldCharType="end"/>
            </w:r>
          </w:hyperlink>
        </w:p>
        <w:p w14:paraId="3DFA0078" w14:textId="0BF5BECA" w:rsidR="00AF7427" w:rsidRDefault="002303F1">
          <w:pPr>
            <w:pStyle w:val="TOC3"/>
            <w:tabs>
              <w:tab w:val="left" w:pos="1320"/>
              <w:tab w:val="right" w:leader="dot" w:pos="9062"/>
            </w:tabs>
            <w:rPr>
              <w:rFonts w:cstheme="minorBidi"/>
              <w:noProof/>
            </w:rPr>
          </w:pPr>
          <w:hyperlink w:anchor="_Toc107915839" w:history="1">
            <w:r w:rsidR="00AF7427" w:rsidRPr="00DA493C">
              <w:rPr>
                <w:rStyle w:val="Hyperlink"/>
                <w:rFonts w:eastAsia="Times New Roman"/>
                <w:noProof/>
                <w:lang w:val="en-GB"/>
              </w:rPr>
              <w:t>1.2.4</w:t>
            </w:r>
            <w:r w:rsidR="00AF7427">
              <w:rPr>
                <w:rFonts w:cstheme="minorBidi"/>
                <w:noProof/>
              </w:rPr>
              <w:tab/>
            </w:r>
            <w:r w:rsidR="00AF7427" w:rsidRPr="00DA493C">
              <w:rPr>
                <w:rStyle w:val="Hyperlink"/>
                <w:rFonts w:eastAsia="Times New Roman"/>
                <w:noProof/>
                <w:lang w:val="en-GB"/>
              </w:rPr>
              <w:t>Safe channel</w:t>
            </w:r>
            <w:r w:rsidR="00AF7427">
              <w:rPr>
                <w:noProof/>
                <w:webHidden/>
              </w:rPr>
              <w:tab/>
            </w:r>
            <w:r w:rsidR="00AF7427">
              <w:rPr>
                <w:noProof/>
                <w:webHidden/>
              </w:rPr>
              <w:fldChar w:fldCharType="begin"/>
            </w:r>
            <w:r w:rsidR="00AF7427">
              <w:rPr>
                <w:noProof/>
                <w:webHidden/>
              </w:rPr>
              <w:instrText xml:space="preserve"> PAGEREF _Toc107915839 \h </w:instrText>
            </w:r>
            <w:r w:rsidR="00AF7427">
              <w:rPr>
                <w:noProof/>
                <w:webHidden/>
              </w:rPr>
            </w:r>
            <w:r w:rsidR="00AF7427">
              <w:rPr>
                <w:noProof/>
                <w:webHidden/>
              </w:rPr>
              <w:fldChar w:fldCharType="separate"/>
            </w:r>
            <w:r w:rsidR="004155E4">
              <w:rPr>
                <w:noProof/>
                <w:webHidden/>
              </w:rPr>
              <w:t>7</w:t>
            </w:r>
            <w:r w:rsidR="00AF7427">
              <w:rPr>
                <w:noProof/>
                <w:webHidden/>
              </w:rPr>
              <w:fldChar w:fldCharType="end"/>
            </w:r>
          </w:hyperlink>
        </w:p>
        <w:p w14:paraId="3AF0D0F0" w14:textId="6C8A5E56" w:rsidR="00AF7427" w:rsidRDefault="002303F1">
          <w:pPr>
            <w:pStyle w:val="TOC1"/>
            <w:tabs>
              <w:tab w:val="left" w:pos="440"/>
              <w:tab w:val="right" w:leader="dot" w:pos="9062"/>
            </w:tabs>
            <w:rPr>
              <w:rFonts w:cstheme="minorBidi"/>
              <w:noProof/>
            </w:rPr>
          </w:pPr>
          <w:hyperlink w:anchor="_Toc107915840" w:history="1">
            <w:r w:rsidR="00AF7427" w:rsidRPr="00DA493C">
              <w:rPr>
                <w:rStyle w:val="Hyperlink"/>
                <w:noProof/>
                <w:lang w:val="en-GB"/>
              </w:rPr>
              <w:t>2</w:t>
            </w:r>
            <w:r w:rsidR="00AF7427">
              <w:rPr>
                <w:rFonts w:cstheme="minorBidi"/>
                <w:noProof/>
              </w:rPr>
              <w:tab/>
            </w:r>
            <w:r w:rsidR="00AF7427" w:rsidRPr="00DA493C">
              <w:rPr>
                <w:rStyle w:val="Hyperlink"/>
                <w:noProof/>
                <w:lang w:val="en-GB"/>
              </w:rPr>
              <w:t>Data privacy</w:t>
            </w:r>
            <w:r w:rsidR="00AF7427">
              <w:rPr>
                <w:noProof/>
                <w:webHidden/>
              </w:rPr>
              <w:tab/>
            </w:r>
            <w:r w:rsidR="00AF7427">
              <w:rPr>
                <w:noProof/>
                <w:webHidden/>
              </w:rPr>
              <w:fldChar w:fldCharType="begin"/>
            </w:r>
            <w:r w:rsidR="00AF7427">
              <w:rPr>
                <w:noProof/>
                <w:webHidden/>
              </w:rPr>
              <w:instrText xml:space="preserve"> PAGEREF _Toc107915840 \h </w:instrText>
            </w:r>
            <w:r w:rsidR="00AF7427">
              <w:rPr>
                <w:noProof/>
                <w:webHidden/>
              </w:rPr>
            </w:r>
            <w:r w:rsidR="00AF7427">
              <w:rPr>
                <w:noProof/>
                <w:webHidden/>
              </w:rPr>
              <w:fldChar w:fldCharType="separate"/>
            </w:r>
            <w:r w:rsidR="004155E4">
              <w:rPr>
                <w:noProof/>
                <w:webHidden/>
              </w:rPr>
              <w:t>8</w:t>
            </w:r>
            <w:r w:rsidR="00AF7427">
              <w:rPr>
                <w:noProof/>
                <w:webHidden/>
              </w:rPr>
              <w:fldChar w:fldCharType="end"/>
            </w:r>
          </w:hyperlink>
        </w:p>
        <w:p w14:paraId="438C5CC1" w14:textId="48DA5EDB" w:rsidR="00AF7427" w:rsidRDefault="002303F1">
          <w:pPr>
            <w:pStyle w:val="TOC2"/>
            <w:tabs>
              <w:tab w:val="left" w:pos="880"/>
              <w:tab w:val="right" w:leader="dot" w:pos="9062"/>
            </w:tabs>
            <w:rPr>
              <w:rFonts w:cstheme="minorBidi"/>
              <w:noProof/>
            </w:rPr>
          </w:pPr>
          <w:hyperlink w:anchor="_Toc107915841" w:history="1">
            <w:r w:rsidR="00AF7427" w:rsidRPr="00DA493C">
              <w:rPr>
                <w:rStyle w:val="Hyperlink"/>
                <w:rFonts w:eastAsia="Times New Roman"/>
                <w:noProof/>
                <w:lang w:val="en-GB"/>
              </w:rPr>
              <w:t>2.1</w:t>
            </w:r>
            <w:r w:rsidR="00AF7427">
              <w:rPr>
                <w:rFonts w:cstheme="minorBidi"/>
                <w:noProof/>
              </w:rPr>
              <w:tab/>
            </w:r>
            <w:r w:rsidR="00AF7427" w:rsidRPr="00DA493C">
              <w:rPr>
                <w:rStyle w:val="Hyperlink"/>
                <w:rFonts w:eastAsia="Times New Roman"/>
                <w:noProof/>
                <w:lang w:val="en-GB"/>
              </w:rPr>
              <w:t>GDPR conformancy</w:t>
            </w:r>
            <w:r w:rsidR="00AF7427">
              <w:rPr>
                <w:noProof/>
                <w:webHidden/>
              </w:rPr>
              <w:tab/>
            </w:r>
            <w:r w:rsidR="00AF7427">
              <w:rPr>
                <w:noProof/>
                <w:webHidden/>
              </w:rPr>
              <w:fldChar w:fldCharType="begin"/>
            </w:r>
            <w:r w:rsidR="00AF7427">
              <w:rPr>
                <w:noProof/>
                <w:webHidden/>
              </w:rPr>
              <w:instrText xml:space="preserve"> PAGEREF _Toc107915841 \h </w:instrText>
            </w:r>
            <w:r w:rsidR="00AF7427">
              <w:rPr>
                <w:noProof/>
                <w:webHidden/>
              </w:rPr>
            </w:r>
            <w:r w:rsidR="00AF7427">
              <w:rPr>
                <w:noProof/>
                <w:webHidden/>
              </w:rPr>
              <w:fldChar w:fldCharType="separate"/>
            </w:r>
            <w:r w:rsidR="004155E4">
              <w:rPr>
                <w:noProof/>
                <w:webHidden/>
              </w:rPr>
              <w:t>8</w:t>
            </w:r>
            <w:r w:rsidR="00AF7427">
              <w:rPr>
                <w:noProof/>
                <w:webHidden/>
              </w:rPr>
              <w:fldChar w:fldCharType="end"/>
            </w:r>
          </w:hyperlink>
        </w:p>
        <w:p w14:paraId="7ACF4295" w14:textId="508A153B" w:rsidR="00AF7427" w:rsidRDefault="002303F1">
          <w:pPr>
            <w:pStyle w:val="TOC2"/>
            <w:tabs>
              <w:tab w:val="left" w:pos="880"/>
              <w:tab w:val="right" w:leader="dot" w:pos="9062"/>
            </w:tabs>
            <w:rPr>
              <w:rFonts w:cstheme="minorBidi"/>
              <w:noProof/>
            </w:rPr>
          </w:pPr>
          <w:hyperlink w:anchor="_Toc107915842" w:history="1">
            <w:r w:rsidR="00AF7427" w:rsidRPr="00DA493C">
              <w:rPr>
                <w:rStyle w:val="Hyperlink"/>
                <w:rFonts w:eastAsia="Times New Roman"/>
                <w:noProof/>
                <w:lang w:val="en-GB"/>
              </w:rPr>
              <w:t>2.2</w:t>
            </w:r>
            <w:r w:rsidR="00AF7427">
              <w:rPr>
                <w:rFonts w:cstheme="minorBidi"/>
                <w:noProof/>
              </w:rPr>
              <w:tab/>
            </w:r>
            <w:r w:rsidR="00AF7427" w:rsidRPr="00DA493C">
              <w:rPr>
                <w:rStyle w:val="Hyperlink"/>
                <w:rFonts w:eastAsia="Times New Roman"/>
                <w:noProof/>
                <w:lang w:val="en-GB"/>
              </w:rPr>
              <w:t>Tenant separation</w:t>
            </w:r>
            <w:r w:rsidR="00AF7427">
              <w:rPr>
                <w:noProof/>
                <w:webHidden/>
              </w:rPr>
              <w:tab/>
            </w:r>
            <w:r w:rsidR="00AF7427">
              <w:rPr>
                <w:noProof/>
                <w:webHidden/>
              </w:rPr>
              <w:fldChar w:fldCharType="begin"/>
            </w:r>
            <w:r w:rsidR="00AF7427">
              <w:rPr>
                <w:noProof/>
                <w:webHidden/>
              </w:rPr>
              <w:instrText xml:space="preserve"> PAGEREF _Toc107915842 \h </w:instrText>
            </w:r>
            <w:r w:rsidR="00AF7427">
              <w:rPr>
                <w:noProof/>
                <w:webHidden/>
              </w:rPr>
            </w:r>
            <w:r w:rsidR="00AF7427">
              <w:rPr>
                <w:noProof/>
                <w:webHidden/>
              </w:rPr>
              <w:fldChar w:fldCharType="separate"/>
            </w:r>
            <w:r w:rsidR="004155E4">
              <w:rPr>
                <w:noProof/>
                <w:webHidden/>
              </w:rPr>
              <w:t>8</w:t>
            </w:r>
            <w:r w:rsidR="00AF7427">
              <w:rPr>
                <w:noProof/>
                <w:webHidden/>
              </w:rPr>
              <w:fldChar w:fldCharType="end"/>
            </w:r>
          </w:hyperlink>
        </w:p>
        <w:p w14:paraId="7C3A5299" w14:textId="06C7AF76" w:rsidR="00AF7427" w:rsidRDefault="002303F1">
          <w:pPr>
            <w:pStyle w:val="TOC1"/>
            <w:tabs>
              <w:tab w:val="left" w:pos="440"/>
              <w:tab w:val="right" w:leader="dot" w:pos="9062"/>
            </w:tabs>
            <w:rPr>
              <w:rFonts w:cstheme="minorBidi"/>
              <w:noProof/>
            </w:rPr>
          </w:pPr>
          <w:hyperlink w:anchor="_Toc107915843" w:history="1">
            <w:r w:rsidR="00AF7427" w:rsidRPr="00DA493C">
              <w:rPr>
                <w:rStyle w:val="Hyperlink"/>
                <w:noProof/>
                <w:lang w:val="en-GB"/>
              </w:rPr>
              <w:t>3</w:t>
            </w:r>
            <w:r w:rsidR="00AF7427">
              <w:rPr>
                <w:rFonts w:cstheme="minorBidi"/>
                <w:noProof/>
              </w:rPr>
              <w:tab/>
            </w:r>
            <w:r w:rsidR="00AF7427" w:rsidRPr="00DA493C">
              <w:rPr>
                <w:rStyle w:val="Hyperlink"/>
                <w:noProof/>
                <w:lang w:val="en-GB"/>
              </w:rPr>
              <w:t>Availability</w:t>
            </w:r>
            <w:r w:rsidR="00AF7427">
              <w:rPr>
                <w:noProof/>
                <w:webHidden/>
              </w:rPr>
              <w:tab/>
            </w:r>
            <w:r w:rsidR="00AF7427">
              <w:rPr>
                <w:noProof/>
                <w:webHidden/>
              </w:rPr>
              <w:fldChar w:fldCharType="begin"/>
            </w:r>
            <w:r w:rsidR="00AF7427">
              <w:rPr>
                <w:noProof/>
                <w:webHidden/>
              </w:rPr>
              <w:instrText xml:space="preserve"> PAGEREF _Toc107915843 \h </w:instrText>
            </w:r>
            <w:r w:rsidR="00AF7427">
              <w:rPr>
                <w:noProof/>
                <w:webHidden/>
              </w:rPr>
            </w:r>
            <w:r w:rsidR="00AF7427">
              <w:rPr>
                <w:noProof/>
                <w:webHidden/>
              </w:rPr>
              <w:fldChar w:fldCharType="separate"/>
            </w:r>
            <w:r w:rsidR="004155E4">
              <w:rPr>
                <w:noProof/>
                <w:webHidden/>
              </w:rPr>
              <w:t>9</w:t>
            </w:r>
            <w:r w:rsidR="00AF7427">
              <w:rPr>
                <w:noProof/>
                <w:webHidden/>
              </w:rPr>
              <w:fldChar w:fldCharType="end"/>
            </w:r>
          </w:hyperlink>
        </w:p>
        <w:p w14:paraId="647FBD2D" w14:textId="49F56842" w:rsidR="00AF7427" w:rsidRDefault="002303F1">
          <w:pPr>
            <w:pStyle w:val="TOC1"/>
            <w:tabs>
              <w:tab w:val="left" w:pos="440"/>
              <w:tab w:val="right" w:leader="dot" w:pos="9062"/>
            </w:tabs>
            <w:rPr>
              <w:rFonts w:cstheme="minorBidi"/>
              <w:noProof/>
            </w:rPr>
          </w:pPr>
          <w:hyperlink w:anchor="_Toc107915844" w:history="1">
            <w:r w:rsidR="00AF7427" w:rsidRPr="00DA493C">
              <w:rPr>
                <w:rStyle w:val="Hyperlink"/>
                <w:noProof/>
                <w:lang w:val="en-GB"/>
              </w:rPr>
              <w:t>4</w:t>
            </w:r>
            <w:r w:rsidR="00AF7427">
              <w:rPr>
                <w:rFonts w:cstheme="minorBidi"/>
                <w:noProof/>
              </w:rPr>
              <w:tab/>
            </w:r>
            <w:r w:rsidR="00AF7427" w:rsidRPr="00DA493C">
              <w:rPr>
                <w:rStyle w:val="Hyperlink"/>
                <w:noProof/>
                <w:lang w:val="en-GB"/>
              </w:rPr>
              <w:t>Quantity structure</w:t>
            </w:r>
            <w:r w:rsidR="00AF7427">
              <w:rPr>
                <w:noProof/>
                <w:webHidden/>
              </w:rPr>
              <w:tab/>
            </w:r>
            <w:r w:rsidR="00AF7427">
              <w:rPr>
                <w:noProof/>
                <w:webHidden/>
              </w:rPr>
              <w:fldChar w:fldCharType="begin"/>
            </w:r>
            <w:r w:rsidR="00AF7427">
              <w:rPr>
                <w:noProof/>
                <w:webHidden/>
              </w:rPr>
              <w:instrText xml:space="preserve"> PAGEREF _Toc107915844 \h </w:instrText>
            </w:r>
            <w:r w:rsidR="00AF7427">
              <w:rPr>
                <w:noProof/>
                <w:webHidden/>
              </w:rPr>
            </w:r>
            <w:r w:rsidR="00AF7427">
              <w:rPr>
                <w:noProof/>
                <w:webHidden/>
              </w:rPr>
              <w:fldChar w:fldCharType="separate"/>
            </w:r>
            <w:r w:rsidR="004155E4">
              <w:rPr>
                <w:noProof/>
                <w:webHidden/>
              </w:rPr>
              <w:t>10</w:t>
            </w:r>
            <w:r w:rsidR="00AF7427">
              <w:rPr>
                <w:noProof/>
                <w:webHidden/>
              </w:rPr>
              <w:fldChar w:fldCharType="end"/>
            </w:r>
          </w:hyperlink>
        </w:p>
        <w:p w14:paraId="7F89404A" w14:textId="13896275" w:rsidR="00404FAC" w:rsidRPr="00853D84" w:rsidRDefault="00404FAC" w:rsidP="00404FAC">
          <w:pPr>
            <w:spacing w:before="0" w:beforeAutospacing="0" w:after="120" w:afterAutospacing="0"/>
            <w:rPr>
              <w:lang w:val="en-GB"/>
            </w:rPr>
          </w:pPr>
          <w:r w:rsidRPr="00853D84">
            <w:rPr>
              <w:b/>
              <w:bCs/>
              <w:lang w:val="en-GB"/>
            </w:rPr>
            <w:fldChar w:fldCharType="end"/>
          </w:r>
        </w:p>
      </w:sdtContent>
    </w:sdt>
    <w:p w14:paraId="7BAB095B" w14:textId="2B313D4C" w:rsidR="00404FAC" w:rsidRPr="00853D84" w:rsidRDefault="001B0052" w:rsidP="001B0052">
      <w:pPr>
        <w:pStyle w:val="Heading1"/>
        <w:spacing w:before="0" w:beforeAutospacing="0" w:afterAutospacing="0"/>
        <w:rPr>
          <w:lang w:val="en-GB"/>
        </w:rPr>
      </w:pPr>
      <w:bookmarkStart w:id="0" w:name="_Toc107915833"/>
      <w:r w:rsidRPr="00853D84">
        <w:rPr>
          <w:lang w:val="en-GB"/>
        </w:rPr>
        <w:t>Security</w:t>
      </w:r>
      <w:bookmarkEnd w:id="0"/>
    </w:p>
    <w:p w14:paraId="6B92D3BA" w14:textId="77777777" w:rsidR="00404FAC" w:rsidRPr="00853D84" w:rsidRDefault="00404FAC" w:rsidP="001F5075">
      <w:pPr>
        <w:pStyle w:val="Zwischenberschrift"/>
        <w:rPr>
          <w:lang w:val="en-GB"/>
        </w:rPr>
      </w:pPr>
      <w:r w:rsidRPr="00853D84">
        <w:rPr>
          <w:rStyle w:val="Strong"/>
          <w:b/>
          <w:bCs/>
          <w:lang w:val="en-GB"/>
        </w:rPr>
        <w:t>Scope</w:t>
      </w:r>
    </w:p>
    <w:p w14:paraId="7AD18785" w14:textId="6BEC2E52" w:rsidR="00404FAC" w:rsidRPr="00853D84" w:rsidRDefault="0020479A" w:rsidP="001B0052">
      <w:pPr>
        <w:pStyle w:val="BodyText"/>
        <w:rPr>
          <w:lang w:val="en-GB"/>
        </w:rPr>
      </w:pPr>
      <w:r w:rsidRPr="00853D84">
        <w:rPr>
          <w:lang w:val="en-GB"/>
        </w:rPr>
        <w:t xml:space="preserve">Interfaces (APIs) </w:t>
      </w:r>
      <w:r w:rsidR="00C53FD0" w:rsidRPr="00853D84">
        <w:rPr>
          <w:lang w:val="en-GB"/>
        </w:rPr>
        <w:t xml:space="preserve">for </w:t>
      </w:r>
      <w:r w:rsidR="00234F37" w:rsidRPr="00853D84">
        <w:rPr>
          <w:lang w:val="en-GB"/>
        </w:rPr>
        <w:t xml:space="preserve">data exchange </w:t>
      </w:r>
      <w:r w:rsidRPr="00853D84">
        <w:rPr>
          <w:lang w:val="en-GB"/>
        </w:rPr>
        <w:t>of the systems involved in clearing</w:t>
      </w:r>
      <w:r w:rsidR="00C53FD0" w:rsidRPr="00853D84">
        <w:rPr>
          <w:lang w:val="en-GB"/>
        </w:rPr>
        <w:t xml:space="preserve">, </w:t>
      </w:r>
      <w:r w:rsidR="002A55B0" w:rsidRPr="00853D84">
        <w:rPr>
          <w:lang w:val="en-GB"/>
        </w:rPr>
        <w:t>particularly</w:t>
      </w:r>
      <w:r w:rsidR="00191620" w:rsidRPr="00853D84">
        <w:rPr>
          <w:lang w:val="en-GB"/>
        </w:rPr>
        <w:t xml:space="preserve"> the communication </w:t>
      </w:r>
    </w:p>
    <w:p w14:paraId="5348EA62" w14:textId="1E17D8D3" w:rsidR="00404FAC" w:rsidRPr="00853D84" w:rsidRDefault="00610CA0" w:rsidP="001B0052">
      <w:pPr>
        <w:pStyle w:val="BodyText"/>
        <w:numPr>
          <w:ilvl w:val="0"/>
          <w:numId w:val="26"/>
        </w:numPr>
        <w:rPr>
          <w:rFonts w:eastAsia="Times New Roman"/>
          <w:lang w:val="en-GB"/>
        </w:rPr>
      </w:pPr>
      <w:r w:rsidRPr="00853D84">
        <w:rPr>
          <w:rFonts w:eastAsia="Times New Roman"/>
          <w:lang w:val="en-GB"/>
        </w:rPr>
        <w:t xml:space="preserve">between two clearing </w:t>
      </w:r>
      <w:r w:rsidR="00C53FD0" w:rsidRPr="00853D84">
        <w:rPr>
          <w:rFonts w:eastAsia="Times New Roman"/>
          <w:lang w:val="en-GB"/>
        </w:rPr>
        <w:t>platforms</w:t>
      </w:r>
    </w:p>
    <w:p w14:paraId="2F548F30" w14:textId="6D403E5F" w:rsidR="00404FAC" w:rsidRPr="00853D84" w:rsidRDefault="00191620" w:rsidP="001B0052">
      <w:pPr>
        <w:pStyle w:val="BodyText"/>
        <w:numPr>
          <w:ilvl w:val="0"/>
          <w:numId w:val="26"/>
        </w:numPr>
        <w:rPr>
          <w:rFonts w:eastAsia="Times New Roman"/>
          <w:lang w:val="en-GB"/>
        </w:rPr>
      </w:pPr>
      <w:r w:rsidRPr="00853D84">
        <w:rPr>
          <w:rFonts w:eastAsia="Times New Roman"/>
          <w:lang w:val="en-GB"/>
        </w:rPr>
        <w:t xml:space="preserve">between </w:t>
      </w:r>
      <w:r w:rsidR="00610CA0" w:rsidRPr="00853D84">
        <w:rPr>
          <w:rFonts w:eastAsia="Times New Roman"/>
          <w:lang w:val="en-GB"/>
        </w:rPr>
        <w:t xml:space="preserve">a </w:t>
      </w:r>
      <w:r w:rsidRPr="00853D84">
        <w:rPr>
          <w:rFonts w:eastAsia="Times New Roman"/>
          <w:lang w:val="en-GB"/>
        </w:rPr>
        <w:t xml:space="preserve">partner and </w:t>
      </w:r>
      <w:r w:rsidR="00610CA0" w:rsidRPr="00853D84">
        <w:rPr>
          <w:rFonts w:eastAsia="Times New Roman"/>
          <w:lang w:val="en-GB"/>
        </w:rPr>
        <w:t xml:space="preserve">a </w:t>
      </w:r>
      <w:r w:rsidRPr="00853D84">
        <w:rPr>
          <w:rFonts w:eastAsia="Times New Roman"/>
          <w:lang w:val="en-GB"/>
        </w:rPr>
        <w:t>clearing platform</w:t>
      </w:r>
    </w:p>
    <w:p w14:paraId="5A05F941" w14:textId="3BDF5322" w:rsidR="00404FAC" w:rsidRPr="00853D84" w:rsidRDefault="004771BC" w:rsidP="001B0052">
      <w:pPr>
        <w:pStyle w:val="BodyText"/>
        <w:rPr>
          <w:lang w:val="en-GB"/>
        </w:rPr>
      </w:pPr>
      <w:r w:rsidRPr="00853D84">
        <w:rPr>
          <w:lang w:val="en-GB"/>
        </w:rPr>
        <w:t>NOT in the scope of this description, and thus entirely the responsibility of each individual platform</w:t>
      </w:r>
      <w:r w:rsidR="00253B31" w:rsidRPr="00853D84">
        <w:rPr>
          <w:lang w:val="en-GB"/>
        </w:rPr>
        <w:t>, are</w:t>
      </w:r>
    </w:p>
    <w:p w14:paraId="32382421" w14:textId="1ED018D4" w:rsidR="00404FAC" w:rsidRPr="00853D84" w:rsidRDefault="008A7251" w:rsidP="001B0052">
      <w:pPr>
        <w:pStyle w:val="BodyText"/>
        <w:numPr>
          <w:ilvl w:val="0"/>
          <w:numId w:val="27"/>
        </w:numPr>
        <w:rPr>
          <w:rFonts w:eastAsia="Times New Roman"/>
          <w:lang w:val="en-GB"/>
        </w:rPr>
      </w:pPr>
      <w:r w:rsidRPr="00853D84">
        <w:rPr>
          <w:rFonts w:eastAsia="Times New Roman"/>
          <w:lang w:val="en-GB"/>
        </w:rPr>
        <w:t>securing a platform when accessed via management interfaces (</w:t>
      </w:r>
      <w:proofErr w:type="gramStart"/>
      <w:r w:rsidRPr="00853D84">
        <w:rPr>
          <w:rFonts w:eastAsia="Times New Roman"/>
          <w:lang w:val="en-GB"/>
        </w:rPr>
        <w:t>e.g.</w:t>
      </w:r>
      <w:proofErr w:type="gramEnd"/>
      <w:r w:rsidRPr="00853D84">
        <w:rPr>
          <w:rFonts w:eastAsia="Times New Roman"/>
          <w:lang w:val="en-GB"/>
        </w:rPr>
        <w:t xml:space="preserve"> SSH)</w:t>
      </w:r>
      <w:r w:rsidR="00404FAC" w:rsidRPr="00853D84">
        <w:rPr>
          <w:rFonts w:eastAsia="Times New Roman"/>
          <w:lang w:val="en-GB"/>
        </w:rPr>
        <w:t>,</w:t>
      </w:r>
    </w:p>
    <w:p w14:paraId="2ECEE6F2" w14:textId="1E276F25" w:rsidR="00404FAC" w:rsidRPr="00853D84" w:rsidRDefault="00CD7DE2" w:rsidP="001B0052">
      <w:pPr>
        <w:pStyle w:val="BodyText"/>
        <w:numPr>
          <w:ilvl w:val="0"/>
          <w:numId w:val="27"/>
        </w:numPr>
        <w:rPr>
          <w:rFonts w:eastAsia="Times New Roman"/>
          <w:lang w:val="en-GB"/>
        </w:rPr>
      </w:pPr>
      <w:r w:rsidRPr="00853D84">
        <w:rPr>
          <w:rFonts w:eastAsia="Times New Roman"/>
          <w:lang w:val="en-GB"/>
        </w:rPr>
        <w:t>security when users access via a GUI. The use of TLS (see below) and secure authentication of users is required</w:t>
      </w:r>
    </w:p>
    <w:p w14:paraId="2F67E38A" w14:textId="77777777" w:rsidR="00821A0E" w:rsidRPr="00853D84" w:rsidRDefault="00821A0E" w:rsidP="001F5075">
      <w:pPr>
        <w:pStyle w:val="Heading2"/>
        <w:rPr>
          <w:lang w:val="en-GB"/>
        </w:rPr>
      </w:pPr>
      <w:bookmarkStart w:id="1" w:name="_Toc107915834"/>
      <w:r w:rsidRPr="00853D84">
        <w:rPr>
          <w:lang w:val="en-GB"/>
        </w:rPr>
        <w:t>Objectives</w:t>
      </w:r>
      <w:bookmarkEnd w:id="1"/>
    </w:p>
    <w:p w14:paraId="3F90F468" w14:textId="77777777" w:rsidR="00821A0E" w:rsidRPr="00853D84" w:rsidRDefault="00821A0E" w:rsidP="000B1FC3">
      <w:pPr>
        <w:pStyle w:val="BodyText"/>
        <w:rPr>
          <w:lang w:val="en-GB"/>
        </w:rPr>
      </w:pPr>
      <w:r w:rsidRPr="00853D84">
        <w:rPr>
          <w:lang w:val="en-GB"/>
        </w:rPr>
        <w:t>Description of the specifications and mechanisms to ensure the following properties when exchanging data between the systems involved in the clearing process:</w:t>
      </w:r>
    </w:p>
    <w:p w14:paraId="36FD1A5D" w14:textId="77777777" w:rsidR="00821A0E" w:rsidRPr="00853D84" w:rsidRDefault="00821A0E" w:rsidP="001F5075">
      <w:pPr>
        <w:pStyle w:val="Zwischenberschrift"/>
        <w:rPr>
          <w:lang w:val="en-GB"/>
        </w:rPr>
      </w:pPr>
      <w:r w:rsidRPr="00853D84">
        <w:rPr>
          <w:lang w:val="en-GB"/>
        </w:rPr>
        <w:t xml:space="preserve">A) Confidentiality </w:t>
      </w:r>
    </w:p>
    <w:p w14:paraId="26E940CC" w14:textId="77777777" w:rsidR="00821A0E" w:rsidRPr="00853D84" w:rsidRDefault="00821A0E" w:rsidP="000B1FC3">
      <w:pPr>
        <w:pStyle w:val="BodyText"/>
        <w:rPr>
          <w:lang w:val="en-GB"/>
        </w:rPr>
      </w:pPr>
      <w:r w:rsidRPr="00853D84">
        <w:rPr>
          <w:lang w:val="en-GB"/>
        </w:rPr>
        <w:t>Data relevant for data protection (especially personal data), but also data relevant for business, SHALL be protected against inspection by uninvolved third parties.</w:t>
      </w:r>
    </w:p>
    <w:p w14:paraId="5D6791DF" w14:textId="77777777" w:rsidR="00821A0E" w:rsidRPr="00853D84" w:rsidRDefault="00821A0E" w:rsidP="000B1FC3">
      <w:pPr>
        <w:pStyle w:val="BodyText"/>
        <w:rPr>
          <w:lang w:val="en-GB"/>
        </w:rPr>
      </w:pPr>
      <w:r w:rsidRPr="00853D84">
        <w:rPr>
          <w:lang w:val="en-GB"/>
        </w:rPr>
        <w:t>Since the messages exchanged between the parties are sent over the public Internet, measures must be taken on the transport route to protect against unauthorized access.</w:t>
      </w:r>
    </w:p>
    <w:p w14:paraId="695407F4" w14:textId="77777777" w:rsidR="00821A0E" w:rsidRPr="00853D84" w:rsidRDefault="00821A0E" w:rsidP="001F5075">
      <w:pPr>
        <w:pStyle w:val="Zwischenberschrift"/>
        <w:rPr>
          <w:lang w:val="en-GB"/>
        </w:rPr>
      </w:pPr>
      <w:r w:rsidRPr="00853D84">
        <w:rPr>
          <w:lang w:val="en-GB"/>
        </w:rPr>
        <w:t>B) Integrity / immutability</w:t>
      </w:r>
    </w:p>
    <w:p w14:paraId="57C203B7" w14:textId="2C3769B2" w:rsidR="00821A0E" w:rsidRPr="00853D84" w:rsidRDefault="00821A0E" w:rsidP="000B1FC3">
      <w:pPr>
        <w:pStyle w:val="BodyText"/>
        <w:rPr>
          <w:lang w:val="en-GB"/>
        </w:rPr>
      </w:pPr>
      <w:r w:rsidRPr="00853D84">
        <w:rPr>
          <w:lang w:val="en-GB"/>
        </w:rPr>
        <w:t xml:space="preserve">It </w:t>
      </w:r>
      <w:r w:rsidR="004F2B49" w:rsidRPr="00853D84">
        <w:rPr>
          <w:lang w:val="en-GB"/>
        </w:rPr>
        <w:t>MUST</w:t>
      </w:r>
      <w:r w:rsidRPr="00853D84">
        <w:rPr>
          <w:lang w:val="en-GB"/>
        </w:rPr>
        <w:t xml:space="preserve"> be ensured that no changes can be made to the transmitted messages during transport.</w:t>
      </w:r>
    </w:p>
    <w:p w14:paraId="491568C9" w14:textId="77777777" w:rsidR="00821A0E" w:rsidRPr="00853D84" w:rsidRDefault="00821A0E" w:rsidP="001F5075">
      <w:pPr>
        <w:pStyle w:val="Zwischenberschrift"/>
        <w:rPr>
          <w:lang w:val="en-GB"/>
        </w:rPr>
      </w:pPr>
      <w:r w:rsidRPr="00853D84">
        <w:rPr>
          <w:lang w:val="en-GB"/>
        </w:rPr>
        <w:t>C) Authenticity</w:t>
      </w:r>
    </w:p>
    <w:p w14:paraId="5561B0AC" w14:textId="24BC100F" w:rsidR="00821A0E" w:rsidRPr="00853D84" w:rsidRDefault="00821A0E" w:rsidP="000B1FC3">
      <w:pPr>
        <w:pStyle w:val="BodyText"/>
        <w:rPr>
          <w:lang w:val="en-GB"/>
        </w:rPr>
      </w:pPr>
      <w:r w:rsidRPr="00853D84">
        <w:rPr>
          <w:lang w:val="en-GB"/>
        </w:rPr>
        <w:t xml:space="preserve">Incoming messages </w:t>
      </w:r>
      <w:r w:rsidR="004F2B49" w:rsidRPr="00853D84">
        <w:rPr>
          <w:lang w:val="en-GB"/>
        </w:rPr>
        <w:t xml:space="preserve">MUST </w:t>
      </w:r>
      <w:r w:rsidRPr="00853D84">
        <w:rPr>
          <w:lang w:val="en-GB"/>
        </w:rPr>
        <w:t>be reliably and verifiably assigned to a sender on the receiver side.</w:t>
      </w:r>
    </w:p>
    <w:p w14:paraId="1FC3A588" w14:textId="77777777" w:rsidR="00821A0E" w:rsidRPr="00853D84" w:rsidRDefault="00821A0E" w:rsidP="001F5075">
      <w:pPr>
        <w:pStyle w:val="Zwischenberschrift"/>
        <w:rPr>
          <w:lang w:val="en-GB"/>
        </w:rPr>
      </w:pPr>
      <w:r w:rsidRPr="00853D84">
        <w:rPr>
          <w:lang w:val="en-GB"/>
        </w:rPr>
        <w:t>D) Authorization</w:t>
      </w:r>
    </w:p>
    <w:p w14:paraId="2FB20D3A" w14:textId="77777777" w:rsidR="00821A0E" w:rsidRPr="00853D84" w:rsidRDefault="00821A0E" w:rsidP="000B1FC3">
      <w:pPr>
        <w:pStyle w:val="BodyText"/>
        <w:rPr>
          <w:lang w:val="en-GB"/>
        </w:rPr>
      </w:pPr>
      <w:r w:rsidRPr="00853D84">
        <w:rPr>
          <w:lang w:val="en-GB"/>
        </w:rPr>
        <w:t>It must be ensured that only authorized communication partners can send and receive messages. For this purpose, the sender and receiver of messages must be able to verify each other's identity, and the receiver of a message must be able to decide on the authorization of a sender and, if necessary, prevent the acceptance of messages from unauthorized senders.</w:t>
      </w:r>
    </w:p>
    <w:p w14:paraId="17DB7C5F" w14:textId="1D197FFF" w:rsidR="00821A0E" w:rsidRPr="00853D84" w:rsidRDefault="00821A0E" w:rsidP="00821A0E">
      <w:pPr>
        <w:pStyle w:val="BodyText"/>
        <w:rPr>
          <w:rStyle w:val="Strong"/>
          <w:b w:val="0"/>
          <w:bCs w:val="0"/>
          <w:lang w:val="en-GB"/>
        </w:rPr>
      </w:pPr>
      <w:r w:rsidRPr="00853D84">
        <w:rPr>
          <w:lang w:val="en-GB"/>
        </w:rPr>
        <w:t xml:space="preserve">For incoming messages, the receiver </w:t>
      </w:r>
      <w:r w:rsidR="00486699" w:rsidRPr="00853D84">
        <w:rPr>
          <w:lang w:val="en-GB"/>
        </w:rPr>
        <w:t>MUST</w:t>
      </w:r>
      <w:r w:rsidRPr="00853D84">
        <w:rPr>
          <w:lang w:val="en-GB"/>
        </w:rPr>
        <w:t xml:space="preserve"> be able to verify whether the sender is authorized for the respective operation.</w:t>
      </w:r>
    </w:p>
    <w:p w14:paraId="15264C80" w14:textId="24453886" w:rsidR="00404FAC" w:rsidRPr="00853D84" w:rsidRDefault="00972842" w:rsidP="00404FAC">
      <w:pPr>
        <w:pStyle w:val="Heading2"/>
        <w:rPr>
          <w:rFonts w:eastAsia="Times New Roman"/>
          <w:lang w:val="en-GB"/>
        </w:rPr>
      </w:pPr>
      <w:bookmarkStart w:id="2" w:name="_Toc107915835"/>
      <w:r w:rsidRPr="00853D84">
        <w:rPr>
          <w:rFonts w:eastAsia="Times New Roman"/>
          <w:lang w:val="en-GB"/>
        </w:rPr>
        <w:t>Measures</w:t>
      </w:r>
      <w:bookmarkEnd w:id="2"/>
    </w:p>
    <w:p w14:paraId="795179C7" w14:textId="65E51EED" w:rsidR="00404FAC" w:rsidRPr="00853D84" w:rsidRDefault="00FD534E" w:rsidP="00404FAC">
      <w:pPr>
        <w:pStyle w:val="Heading3"/>
        <w:rPr>
          <w:rFonts w:eastAsia="Times New Roman"/>
          <w:lang w:val="en-GB"/>
        </w:rPr>
      </w:pPr>
      <w:bookmarkStart w:id="3" w:name="_Toc107915836"/>
      <w:r w:rsidRPr="00853D84">
        <w:rPr>
          <w:rFonts w:eastAsia="Times New Roman"/>
          <w:lang w:val="en-GB"/>
        </w:rPr>
        <w:t>Encryption</w:t>
      </w:r>
      <w:bookmarkEnd w:id="3"/>
    </w:p>
    <w:p w14:paraId="4810D514" w14:textId="77777777" w:rsidR="00FD534E" w:rsidRPr="00853D84" w:rsidRDefault="00FD534E" w:rsidP="00FD534E">
      <w:pPr>
        <w:pStyle w:val="BodyText"/>
        <w:rPr>
          <w:lang w:val="en-GB"/>
        </w:rPr>
      </w:pPr>
      <w:r w:rsidRPr="00853D84">
        <w:rPr>
          <w:lang w:val="en-GB"/>
        </w:rPr>
        <w:t>The goals of confidentiality and integrity are achieved by encrypting all communication using TLS in HTTP communication.</w:t>
      </w:r>
    </w:p>
    <w:p w14:paraId="48CB3FF3" w14:textId="348503BE" w:rsidR="00FD534E" w:rsidRPr="00853D84" w:rsidRDefault="00430EAD" w:rsidP="00FD534E">
      <w:pPr>
        <w:pStyle w:val="BodyText"/>
        <w:rPr>
          <w:lang w:val="en-GB"/>
        </w:rPr>
      </w:pPr>
      <w:r>
        <w:rPr>
          <w:lang w:val="en-GB"/>
        </w:rPr>
        <w:t xml:space="preserve">When using </w:t>
      </w:r>
      <w:proofErr w:type="gramStart"/>
      <w:r>
        <w:rPr>
          <w:lang w:val="en-GB"/>
        </w:rPr>
        <w:t>TLS</w:t>
      </w:r>
      <w:proofErr w:type="gramEnd"/>
      <w:r>
        <w:rPr>
          <w:lang w:val="en-GB"/>
        </w:rPr>
        <w:t xml:space="preserve"> the </w:t>
      </w:r>
      <w:r w:rsidR="00FD534E" w:rsidRPr="00853D84">
        <w:rPr>
          <w:b/>
          <w:lang w:val="en-GB"/>
        </w:rPr>
        <w:t>minimum standards of the BSI for the use of Transport Layer Security (TLS)</w:t>
      </w:r>
      <w:r w:rsidR="00FD534E" w:rsidRPr="00853D84">
        <w:rPr>
          <w:lang w:val="en-GB"/>
        </w:rPr>
        <w:t xml:space="preserve"> </w:t>
      </w:r>
      <w:r w:rsidR="006B176F">
        <w:rPr>
          <w:lang w:val="en-GB"/>
        </w:rPr>
        <w:t>have to be considered</w:t>
      </w:r>
      <w:r w:rsidR="00FD534E" w:rsidRPr="00853D84">
        <w:rPr>
          <w:lang w:val="en-GB"/>
        </w:rPr>
        <w:t>.</w:t>
      </w:r>
    </w:p>
    <w:p w14:paraId="38612565" w14:textId="77777777" w:rsidR="00FD534E" w:rsidRPr="00853D84" w:rsidRDefault="00FD534E" w:rsidP="00FD534E">
      <w:pPr>
        <w:pStyle w:val="BodyText"/>
        <w:rPr>
          <w:lang w:val="en-GB"/>
        </w:rPr>
      </w:pPr>
      <w:r w:rsidRPr="00853D84">
        <w:rPr>
          <w:lang w:val="en-GB"/>
        </w:rPr>
        <w:t>Among other things, this requires that</w:t>
      </w:r>
    </w:p>
    <w:p w14:paraId="01E45E8D" w14:textId="51D61AFA" w:rsidR="00FD534E" w:rsidRPr="00853D84" w:rsidRDefault="00FD534E" w:rsidP="002A6495">
      <w:pPr>
        <w:pStyle w:val="BodyText"/>
        <w:numPr>
          <w:ilvl w:val="0"/>
          <w:numId w:val="38"/>
        </w:numPr>
        <w:rPr>
          <w:lang w:val="en-GB"/>
        </w:rPr>
      </w:pPr>
      <w:r w:rsidRPr="00853D84">
        <w:rPr>
          <w:lang w:val="en-GB"/>
        </w:rPr>
        <w:t>all transmitted messages MUST be encrypted using TLS</w:t>
      </w:r>
    </w:p>
    <w:p w14:paraId="310BE5F2" w14:textId="2FB2FB60" w:rsidR="00FD534E" w:rsidRPr="00853D84" w:rsidRDefault="00FD534E" w:rsidP="002A6495">
      <w:pPr>
        <w:pStyle w:val="BodyText"/>
        <w:numPr>
          <w:ilvl w:val="0"/>
          <w:numId w:val="38"/>
        </w:numPr>
        <w:rPr>
          <w:lang w:val="en-GB"/>
        </w:rPr>
      </w:pPr>
      <w:r w:rsidRPr="00853D84">
        <w:rPr>
          <w:lang w:val="en-GB"/>
        </w:rPr>
        <w:t>the minimum TLS version required by all participants is 1.2 (1.0, 1.1 are outdated and insecure, see https://datatracker.ietf.org/doc/rfc8996/)</w:t>
      </w:r>
    </w:p>
    <w:p w14:paraId="30813A87" w14:textId="56FF88DD" w:rsidR="00FD534E" w:rsidRPr="00853D84" w:rsidRDefault="00FD534E" w:rsidP="002A6495">
      <w:pPr>
        <w:pStyle w:val="BodyText"/>
        <w:numPr>
          <w:ilvl w:val="0"/>
          <w:numId w:val="38"/>
        </w:numPr>
        <w:rPr>
          <w:lang w:val="en-GB"/>
        </w:rPr>
      </w:pPr>
      <w:r w:rsidRPr="00853D84">
        <w:rPr>
          <w:lang w:val="en-GB"/>
        </w:rPr>
        <w:t xml:space="preserve">permitted (but not mandatory) is the use of newer versions (1.3 or following)   </w:t>
      </w:r>
    </w:p>
    <w:p w14:paraId="68AF0DB4" w14:textId="3D537807" w:rsidR="00FD534E" w:rsidRPr="00853D84" w:rsidRDefault="00FD534E" w:rsidP="002A6495">
      <w:pPr>
        <w:pStyle w:val="BodyText"/>
        <w:numPr>
          <w:ilvl w:val="0"/>
          <w:numId w:val="38"/>
        </w:numPr>
        <w:rPr>
          <w:lang w:val="en-GB"/>
        </w:rPr>
      </w:pPr>
      <w:r w:rsidRPr="00853D84">
        <w:rPr>
          <w:lang w:val="en-GB"/>
        </w:rPr>
        <w:t>transmission of security relevant (</w:t>
      </w:r>
      <w:proofErr w:type="gramStart"/>
      <w:r w:rsidRPr="00853D84">
        <w:rPr>
          <w:lang w:val="en-GB"/>
        </w:rPr>
        <w:t>e.g.</w:t>
      </w:r>
      <w:proofErr w:type="gramEnd"/>
      <w:r w:rsidRPr="00853D84">
        <w:rPr>
          <w:lang w:val="en-GB"/>
        </w:rPr>
        <w:t xml:space="preserve"> access tokens) or personal data as part of a URL has to be excluded, because this data is vulnerable on different levels (logs, browser, ...)</w:t>
      </w:r>
    </w:p>
    <w:p w14:paraId="1EADA93B" w14:textId="77777777" w:rsidR="00FD534E" w:rsidRPr="00853D84" w:rsidRDefault="00FD534E" w:rsidP="00F25BE5">
      <w:pPr>
        <w:pStyle w:val="Zwischenberschrift"/>
        <w:rPr>
          <w:lang w:val="en-GB"/>
        </w:rPr>
      </w:pPr>
      <w:r w:rsidRPr="00853D84">
        <w:rPr>
          <w:lang w:val="en-GB"/>
        </w:rPr>
        <w:t>Certificate</w:t>
      </w:r>
    </w:p>
    <w:p w14:paraId="0741F30F" w14:textId="666254C5" w:rsidR="00FD534E" w:rsidRPr="00853D84" w:rsidRDefault="00FD534E" w:rsidP="00FD534E">
      <w:pPr>
        <w:pStyle w:val="BodyText"/>
        <w:rPr>
          <w:lang w:val="en-GB"/>
        </w:rPr>
      </w:pPr>
      <w:r w:rsidRPr="00853D84">
        <w:rPr>
          <w:lang w:val="en-GB"/>
        </w:rPr>
        <w:t xml:space="preserve">The X.509 certificates used for TLS connection establishment (TLS handshake) </w:t>
      </w:r>
      <w:r w:rsidR="004D349B" w:rsidRPr="00853D84">
        <w:rPr>
          <w:lang w:val="en-GB"/>
        </w:rPr>
        <w:t>MUST</w:t>
      </w:r>
      <w:r w:rsidRPr="00853D84">
        <w:rPr>
          <w:lang w:val="en-GB"/>
        </w:rPr>
        <w:t xml:space="preserve"> </w:t>
      </w:r>
      <w:r w:rsidR="008A3D98" w:rsidRPr="00853D84">
        <w:rPr>
          <w:lang w:val="en-GB"/>
        </w:rPr>
        <w:t>fulfil</w:t>
      </w:r>
      <w:r w:rsidRPr="00853D84">
        <w:rPr>
          <w:lang w:val="en-GB"/>
        </w:rPr>
        <w:t xml:space="preserve"> the following properties</w:t>
      </w:r>
    </w:p>
    <w:p w14:paraId="081649E3" w14:textId="7BBC7387" w:rsidR="00FD534E" w:rsidRPr="00853D84" w:rsidRDefault="00FD534E" w:rsidP="004D349B">
      <w:pPr>
        <w:pStyle w:val="BodyText"/>
        <w:numPr>
          <w:ilvl w:val="0"/>
          <w:numId w:val="39"/>
        </w:numPr>
        <w:rPr>
          <w:lang w:val="en-GB"/>
        </w:rPr>
      </w:pPr>
      <w:r w:rsidRPr="00853D84">
        <w:rPr>
          <w:lang w:val="en-GB"/>
        </w:rPr>
        <w:t xml:space="preserve">signed by an authorized certificate authority, no self-signed certificates may be used. An explicit whitelist of certificate authorities is </w:t>
      </w:r>
      <w:r w:rsidR="00F25BE5" w:rsidRPr="00853D84">
        <w:rPr>
          <w:lang w:val="en-GB"/>
        </w:rPr>
        <w:t xml:space="preserve">NOT </w:t>
      </w:r>
      <w:r w:rsidRPr="00853D84">
        <w:rPr>
          <w:lang w:val="en-GB"/>
        </w:rPr>
        <w:t>maintained.</w:t>
      </w:r>
    </w:p>
    <w:p w14:paraId="5A1D4F39" w14:textId="3EE79790" w:rsidR="00FD534E" w:rsidRPr="00853D84" w:rsidRDefault="00FD534E" w:rsidP="004D349B">
      <w:pPr>
        <w:pStyle w:val="BodyText"/>
        <w:numPr>
          <w:ilvl w:val="0"/>
          <w:numId w:val="39"/>
        </w:numPr>
        <w:rPr>
          <w:lang w:val="en-GB"/>
        </w:rPr>
      </w:pPr>
      <w:r w:rsidRPr="00853D84">
        <w:rPr>
          <w:lang w:val="en-GB"/>
        </w:rPr>
        <w:t>Type: X.509 version 3</w:t>
      </w:r>
    </w:p>
    <w:p w14:paraId="31751BAB" w14:textId="3C335821" w:rsidR="00FD534E" w:rsidRPr="00853D84" w:rsidRDefault="00FD534E" w:rsidP="004D349B">
      <w:pPr>
        <w:pStyle w:val="BodyText"/>
        <w:numPr>
          <w:ilvl w:val="0"/>
          <w:numId w:val="39"/>
        </w:numPr>
        <w:rPr>
          <w:lang w:val="en-GB"/>
        </w:rPr>
      </w:pPr>
      <w:r w:rsidRPr="00853D84">
        <w:rPr>
          <w:lang w:val="en-GB"/>
        </w:rPr>
        <w:t>Algorithm: "SHA256 with RSA"</w:t>
      </w:r>
    </w:p>
    <w:p w14:paraId="74B3406A" w14:textId="2C65DEF8" w:rsidR="00FD534E" w:rsidRPr="00853D84" w:rsidRDefault="00FD534E" w:rsidP="004D349B">
      <w:pPr>
        <w:pStyle w:val="BodyText"/>
        <w:numPr>
          <w:ilvl w:val="0"/>
          <w:numId w:val="39"/>
        </w:numPr>
        <w:rPr>
          <w:lang w:val="en-GB"/>
        </w:rPr>
      </w:pPr>
      <w:r w:rsidRPr="00853D84">
        <w:rPr>
          <w:lang w:val="en-GB"/>
        </w:rPr>
        <w:t>RSA key length (public key): at least 2048 bits</w:t>
      </w:r>
    </w:p>
    <w:p w14:paraId="1BBB25C9" w14:textId="17429175" w:rsidR="00FD534E" w:rsidRPr="00853D84" w:rsidRDefault="00FD534E" w:rsidP="004D349B">
      <w:pPr>
        <w:pStyle w:val="BodyText"/>
        <w:numPr>
          <w:ilvl w:val="0"/>
          <w:numId w:val="39"/>
        </w:numPr>
        <w:rPr>
          <w:lang w:val="en-GB"/>
        </w:rPr>
      </w:pPr>
      <w:r w:rsidRPr="00853D84">
        <w:rPr>
          <w:lang w:val="en-GB"/>
        </w:rPr>
        <w:t>Validity period: maximum 12 months</w:t>
      </w:r>
    </w:p>
    <w:p w14:paraId="5DE4ADC3" w14:textId="3B40E6F6" w:rsidR="008D4D1A" w:rsidRPr="00853D84" w:rsidRDefault="008D4D1A" w:rsidP="008D4D1A">
      <w:pPr>
        <w:pStyle w:val="Heading3"/>
        <w:rPr>
          <w:rFonts w:eastAsia="Times New Roman"/>
          <w:lang w:val="en-GB"/>
        </w:rPr>
      </w:pPr>
      <w:bookmarkStart w:id="4" w:name="_Toc107915837"/>
      <w:r w:rsidRPr="00853D84">
        <w:rPr>
          <w:lang w:val="en-GB"/>
        </w:rPr>
        <w:t>Authentication</w:t>
      </w:r>
      <w:bookmarkEnd w:id="4"/>
    </w:p>
    <w:p w14:paraId="28EB053B" w14:textId="29E4A1DF" w:rsidR="008D4D1A" w:rsidRPr="00853D84" w:rsidRDefault="008D4D1A" w:rsidP="008D4D1A">
      <w:pPr>
        <w:pStyle w:val="BodyText"/>
        <w:rPr>
          <w:lang w:val="en-GB"/>
        </w:rPr>
      </w:pPr>
      <w:r w:rsidRPr="00853D84">
        <w:rPr>
          <w:lang w:val="en-GB"/>
        </w:rPr>
        <w:t>Mutual authentication of provider and user is the prerequisite for checking the authenticity of messages and based on this, the authorization of requests.</w:t>
      </w:r>
    </w:p>
    <w:p w14:paraId="5B3477C8" w14:textId="352CB5F7" w:rsidR="008D4D1A" w:rsidRPr="00853D84" w:rsidRDefault="00407FA2" w:rsidP="00257260">
      <w:pPr>
        <w:pStyle w:val="Heading4"/>
        <w:rPr>
          <w:lang w:val="en-GB"/>
        </w:rPr>
      </w:pPr>
      <w:r w:rsidRPr="00853D84">
        <w:rPr>
          <w:lang w:val="en-GB"/>
        </w:rPr>
        <w:t xml:space="preserve">Interface </w:t>
      </w:r>
      <w:r w:rsidR="008D4D1A" w:rsidRPr="00853D84">
        <w:rPr>
          <w:lang w:val="en-GB"/>
        </w:rPr>
        <w:t>Provider</w:t>
      </w:r>
    </w:p>
    <w:p w14:paraId="06E41B36" w14:textId="13F82E5F" w:rsidR="008D4D1A" w:rsidRPr="00853D84" w:rsidRDefault="008D4D1A" w:rsidP="008D4D1A">
      <w:pPr>
        <w:pStyle w:val="BodyText"/>
        <w:rPr>
          <w:lang w:val="en-GB"/>
        </w:rPr>
      </w:pPr>
      <w:r w:rsidRPr="00853D84">
        <w:rPr>
          <w:lang w:val="en-GB"/>
        </w:rPr>
        <w:t xml:space="preserve">The required use of TLS implicitly authenticates the provider of an interface </w:t>
      </w:r>
      <w:r w:rsidR="00930797">
        <w:rPr>
          <w:lang w:val="en-GB"/>
        </w:rPr>
        <w:t xml:space="preserve">against </w:t>
      </w:r>
      <w:r w:rsidRPr="00853D84">
        <w:rPr>
          <w:lang w:val="en-GB"/>
        </w:rPr>
        <w:t xml:space="preserve">the </w:t>
      </w:r>
      <w:r w:rsidR="00D13A36">
        <w:rPr>
          <w:lang w:val="en-GB"/>
        </w:rPr>
        <w:t>consume</w:t>
      </w:r>
      <w:r w:rsidR="00930797">
        <w:rPr>
          <w:lang w:val="en-GB"/>
        </w:rPr>
        <w:t>r</w:t>
      </w:r>
      <w:r w:rsidR="00D13A36">
        <w:rPr>
          <w:lang w:val="en-GB"/>
        </w:rPr>
        <w:t xml:space="preserve"> </w:t>
      </w:r>
      <w:r w:rsidR="00930797">
        <w:rPr>
          <w:lang w:val="en-GB"/>
        </w:rPr>
        <w:t>(</w:t>
      </w:r>
      <w:r w:rsidRPr="00853D84">
        <w:rPr>
          <w:lang w:val="en-GB"/>
        </w:rPr>
        <w:t>user</w:t>
      </w:r>
      <w:r w:rsidR="00930797">
        <w:rPr>
          <w:lang w:val="en-GB"/>
        </w:rPr>
        <w:t>)</w:t>
      </w:r>
      <w:r w:rsidRPr="00853D84">
        <w:rPr>
          <w:lang w:val="en-GB"/>
        </w:rPr>
        <w:t xml:space="preserve">. </w:t>
      </w:r>
      <w:proofErr w:type="gramStart"/>
      <w:r w:rsidRPr="00853D84">
        <w:rPr>
          <w:lang w:val="en-GB"/>
        </w:rPr>
        <w:t>In order for</w:t>
      </w:r>
      <w:proofErr w:type="gramEnd"/>
      <w:r w:rsidRPr="00853D84">
        <w:rPr>
          <w:lang w:val="en-GB"/>
        </w:rPr>
        <w:t xml:space="preserve"> a connection to be established, an X.509 certificate is presented by the provider, which contains the domain name of the provider's interface. As a result of this process, the </w:t>
      </w:r>
      <w:r w:rsidR="00257260" w:rsidRPr="00853D84">
        <w:rPr>
          <w:lang w:val="en-GB"/>
        </w:rPr>
        <w:t>consumer (</w:t>
      </w:r>
      <w:r w:rsidRPr="00853D84">
        <w:rPr>
          <w:lang w:val="en-GB"/>
        </w:rPr>
        <w:t>user of the interface</w:t>
      </w:r>
      <w:r w:rsidR="00257260" w:rsidRPr="00853D84">
        <w:rPr>
          <w:lang w:val="en-GB"/>
        </w:rPr>
        <w:t>)</w:t>
      </w:r>
      <w:r w:rsidRPr="00853D84">
        <w:rPr>
          <w:lang w:val="en-GB"/>
        </w:rPr>
        <w:t xml:space="preserve"> can be sure that the provider is the owner of the domain that was used for the request to establish the connection.</w:t>
      </w:r>
    </w:p>
    <w:p w14:paraId="3876EBF2" w14:textId="59CF19AD" w:rsidR="00404FAC" w:rsidRPr="00853D84" w:rsidRDefault="00407FA2" w:rsidP="00404FAC">
      <w:pPr>
        <w:pStyle w:val="Heading4"/>
        <w:rPr>
          <w:rFonts w:eastAsia="Times New Roman"/>
          <w:lang w:val="en-GB"/>
        </w:rPr>
      </w:pPr>
      <w:r w:rsidRPr="00853D84">
        <w:rPr>
          <w:rFonts w:eastAsia="Times New Roman"/>
          <w:lang w:val="en-GB"/>
        </w:rPr>
        <w:t xml:space="preserve">Interface </w:t>
      </w:r>
      <w:r w:rsidR="00257260" w:rsidRPr="00853D84">
        <w:rPr>
          <w:rFonts w:eastAsia="Times New Roman"/>
          <w:lang w:val="en-GB"/>
        </w:rPr>
        <w:t>Consumer</w:t>
      </w:r>
    </w:p>
    <w:p w14:paraId="320E07B7" w14:textId="77777777" w:rsidR="009D7F27" w:rsidRPr="00853D84" w:rsidRDefault="009D7F27" w:rsidP="009D7F27">
      <w:pPr>
        <w:pStyle w:val="BodyText"/>
        <w:rPr>
          <w:lang w:val="en-GB"/>
        </w:rPr>
      </w:pPr>
      <w:proofErr w:type="gramStart"/>
      <w:r w:rsidRPr="00853D84">
        <w:rPr>
          <w:lang w:val="en-GB"/>
        </w:rPr>
        <w:t>In order for</w:t>
      </w:r>
      <w:proofErr w:type="gramEnd"/>
      <w:r w:rsidRPr="00853D84">
        <w:rPr>
          <w:lang w:val="en-GB"/>
        </w:rPr>
        <w:t xml:space="preserve"> the provider of an interface to decide whether to accept messages from a user, it must be able to verify the user's identity with certainty.</w:t>
      </w:r>
    </w:p>
    <w:p w14:paraId="5F4AB66B" w14:textId="77777777" w:rsidR="009D7F27" w:rsidRPr="00853D84" w:rsidRDefault="009D7F27" w:rsidP="009D7F27">
      <w:pPr>
        <w:pStyle w:val="BodyText"/>
        <w:rPr>
          <w:lang w:val="en-GB"/>
        </w:rPr>
      </w:pPr>
      <w:r w:rsidRPr="00853D84">
        <w:rPr>
          <w:lang w:val="en-GB"/>
        </w:rPr>
        <w:t>The following procedures are supported by all platforms for this purpose:</w:t>
      </w:r>
    </w:p>
    <w:p w14:paraId="504516E3" w14:textId="01AEF86C" w:rsidR="009D7F27" w:rsidRPr="00853D84" w:rsidRDefault="009D7F27" w:rsidP="003322D3">
      <w:pPr>
        <w:pStyle w:val="BodyText"/>
        <w:numPr>
          <w:ilvl w:val="0"/>
          <w:numId w:val="40"/>
        </w:numPr>
        <w:rPr>
          <w:lang w:val="en-GB"/>
        </w:rPr>
      </w:pPr>
      <w:r w:rsidRPr="00853D84">
        <w:rPr>
          <w:b/>
          <w:lang w:val="en-GB"/>
        </w:rPr>
        <w:t>A - Basic</w:t>
      </w:r>
      <w:r w:rsidRPr="00853D84">
        <w:rPr>
          <w:lang w:val="en-GB"/>
        </w:rPr>
        <w:t>: HTTP Basic Authentication. Simple implementation and sufficient security</w:t>
      </w:r>
    </w:p>
    <w:p w14:paraId="058BF183" w14:textId="46D2FC79" w:rsidR="009D7F27" w:rsidRPr="00853D84" w:rsidRDefault="009D7F27" w:rsidP="003322D3">
      <w:pPr>
        <w:pStyle w:val="BodyText"/>
        <w:numPr>
          <w:ilvl w:val="0"/>
          <w:numId w:val="40"/>
        </w:numPr>
        <w:rPr>
          <w:lang w:val="en-GB"/>
        </w:rPr>
      </w:pPr>
      <w:r w:rsidRPr="00853D84">
        <w:rPr>
          <w:b/>
          <w:lang w:val="en-GB"/>
        </w:rPr>
        <w:t>B - Advanced</w:t>
      </w:r>
      <w:r w:rsidRPr="00853D84">
        <w:rPr>
          <w:lang w:val="en-GB"/>
        </w:rPr>
        <w:t>: OAuth2 Client Credentials Grant Flow + Bearer Tokens. Increased security by reducing the attack surface when credentials are transferred.</w:t>
      </w:r>
    </w:p>
    <w:p w14:paraId="5CCBCBC4" w14:textId="7E5F3A25" w:rsidR="00404FAC" w:rsidRPr="00853D84" w:rsidRDefault="009D7F27" w:rsidP="009D7F27">
      <w:pPr>
        <w:pStyle w:val="BodyText"/>
        <w:rPr>
          <w:lang w:val="en-GB"/>
        </w:rPr>
      </w:pPr>
      <w:r w:rsidRPr="00853D84">
        <w:rPr>
          <w:lang w:val="en-GB"/>
        </w:rPr>
        <w:t>A partner MUST determine during onboarding which of these methods is supported by their system and should be used to communicate with the platform.</w:t>
      </w:r>
    </w:p>
    <w:p w14:paraId="1155151E" w14:textId="0646CB9B" w:rsidR="00404FAC" w:rsidRPr="00853D84" w:rsidRDefault="00227FA1" w:rsidP="00404FAC">
      <w:pPr>
        <w:pStyle w:val="Heading3"/>
        <w:rPr>
          <w:rFonts w:eastAsia="Times New Roman"/>
          <w:lang w:val="en-GB"/>
        </w:rPr>
      </w:pPr>
      <w:bookmarkStart w:id="5" w:name="_Toc107915838"/>
      <w:r w:rsidRPr="00853D84">
        <w:rPr>
          <w:rStyle w:val="Strong"/>
          <w:rFonts w:eastAsia="Times New Roman"/>
          <w:b w:val="0"/>
          <w:bCs w:val="0"/>
          <w:lang w:val="en-GB"/>
        </w:rPr>
        <w:t>Authentication methods in detai</w:t>
      </w:r>
      <w:r w:rsidR="00404FAC" w:rsidRPr="00853D84">
        <w:rPr>
          <w:rStyle w:val="Strong"/>
          <w:rFonts w:eastAsia="Times New Roman"/>
          <w:b w:val="0"/>
          <w:bCs w:val="0"/>
          <w:lang w:val="en-GB"/>
        </w:rPr>
        <w:t>l</w:t>
      </w:r>
      <w:bookmarkEnd w:id="5"/>
    </w:p>
    <w:p w14:paraId="0817DD7E" w14:textId="77777777" w:rsidR="00404FAC" w:rsidRPr="00853D84" w:rsidRDefault="00404FAC" w:rsidP="00404FAC">
      <w:pPr>
        <w:pStyle w:val="Heading4"/>
        <w:rPr>
          <w:rFonts w:eastAsia="Times New Roman"/>
          <w:lang w:val="en-GB"/>
        </w:rPr>
      </w:pPr>
      <w:r w:rsidRPr="00853D84">
        <w:rPr>
          <w:rFonts w:eastAsia="Times New Roman"/>
          <w:lang w:val="en-GB"/>
        </w:rPr>
        <w:t>HTTP Basic</w:t>
      </w:r>
    </w:p>
    <w:p w14:paraId="6316B021" w14:textId="4312D282" w:rsidR="00830229" w:rsidRPr="00853D84" w:rsidRDefault="00830229" w:rsidP="00830229">
      <w:pPr>
        <w:pStyle w:val="BodyText"/>
        <w:rPr>
          <w:lang w:val="en-GB"/>
        </w:rPr>
      </w:pPr>
      <w:r w:rsidRPr="00853D84">
        <w:rPr>
          <w:lang w:val="en-GB"/>
        </w:rPr>
        <w:t xml:space="preserve">The definition of the procedure is standardized as RFC7617, see </w:t>
      </w:r>
      <w:hyperlink r:id="rId15" w:history="1">
        <w:r w:rsidRPr="00853D84">
          <w:rPr>
            <w:rStyle w:val="Hyperlink"/>
            <w:lang w:val="en-GB"/>
          </w:rPr>
          <w:t>https://datatracker.ietf.org/doc/html/rfc7617</w:t>
        </w:r>
      </w:hyperlink>
      <w:r w:rsidRPr="00853D84">
        <w:rPr>
          <w:lang w:val="en-GB"/>
        </w:rPr>
        <w:t xml:space="preserve"> </w:t>
      </w:r>
    </w:p>
    <w:p w14:paraId="6CA512E3" w14:textId="41107FB7" w:rsidR="00404FAC" w:rsidRPr="00853D84" w:rsidRDefault="00830229" w:rsidP="00830229">
      <w:pPr>
        <w:pStyle w:val="BodyText"/>
        <w:rPr>
          <w:lang w:val="en-GB"/>
        </w:rPr>
      </w:pPr>
      <w:r w:rsidRPr="00853D84">
        <w:rPr>
          <w:lang w:val="en-GB"/>
        </w:rPr>
        <w:t xml:space="preserve">Each user of an interface receives a set of </w:t>
      </w:r>
      <w:r w:rsidR="0084749E" w:rsidRPr="00853D84">
        <w:rPr>
          <w:lang w:val="en-GB"/>
        </w:rPr>
        <w:t xml:space="preserve">credentials </w:t>
      </w:r>
      <w:r w:rsidRPr="00853D84">
        <w:rPr>
          <w:lang w:val="en-GB"/>
        </w:rPr>
        <w:t>from the provider, consisting of "username" and "password</w:t>
      </w:r>
      <w:r w:rsidR="0084749E" w:rsidRPr="00853D84">
        <w:rPr>
          <w:lang w:val="en-GB"/>
        </w:rPr>
        <w:t>"</w:t>
      </w:r>
      <w:r w:rsidR="000F155A" w:rsidRPr="00853D84">
        <w:rPr>
          <w:lang w:val="en-GB"/>
        </w:rPr>
        <w:t xml:space="preserve">. </w:t>
      </w:r>
      <w:r w:rsidR="0084749E" w:rsidRPr="00853D84">
        <w:rPr>
          <w:lang w:val="en-GB"/>
        </w:rPr>
        <w:t>T</w:t>
      </w:r>
      <w:r w:rsidRPr="00853D84">
        <w:rPr>
          <w:lang w:val="en-GB"/>
        </w:rPr>
        <w:t>hese credentials must be included in every request sent by the user to the provider's interface</w:t>
      </w:r>
      <w:r w:rsidR="000F155A" w:rsidRPr="00853D84">
        <w:rPr>
          <w:lang w:val="en-GB"/>
        </w:rPr>
        <w:t>. T</w:t>
      </w:r>
      <w:r w:rsidRPr="00853D84">
        <w:rPr>
          <w:lang w:val="en-GB"/>
        </w:rPr>
        <w:t xml:space="preserve">he provider can verify the authenticity of the messages by verifying the access data and assigning the request to a user (partner, platform) in a verifiable, </w:t>
      </w:r>
      <w:proofErr w:type="gramStart"/>
      <w:r w:rsidRPr="00853D84">
        <w:rPr>
          <w:lang w:val="en-GB"/>
        </w:rPr>
        <w:t>secure</w:t>
      </w:r>
      <w:proofErr w:type="gramEnd"/>
      <w:r w:rsidRPr="00853D84">
        <w:rPr>
          <w:lang w:val="en-GB"/>
        </w:rPr>
        <w:t xml:space="preserve"> and unambiguous manner.</w:t>
      </w:r>
    </w:p>
    <w:p w14:paraId="13D26D41" w14:textId="77777777" w:rsidR="00404FAC" w:rsidRPr="00853D84" w:rsidRDefault="00404FAC" w:rsidP="00404FAC">
      <w:pPr>
        <w:pStyle w:val="Heading4"/>
        <w:rPr>
          <w:rFonts w:eastAsia="Times New Roman"/>
          <w:lang w:val="en-GB"/>
        </w:rPr>
      </w:pPr>
      <w:r w:rsidRPr="00853D84">
        <w:rPr>
          <w:rFonts w:eastAsia="Times New Roman"/>
          <w:lang w:val="en-GB"/>
        </w:rPr>
        <w:t>OAuth 2.0 Client Credentials Grant Flow</w:t>
      </w:r>
    </w:p>
    <w:p w14:paraId="0AB6018D" w14:textId="76752DFB" w:rsidR="00404FAC" w:rsidRPr="00853D84" w:rsidRDefault="005735BB" w:rsidP="005735BB">
      <w:pPr>
        <w:pStyle w:val="BodyText"/>
        <w:rPr>
          <w:rStyle w:val="h3"/>
          <w:lang w:val="en-GB"/>
        </w:rPr>
      </w:pPr>
      <w:r w:rsidRPr="00853D84">
        <w:rPr>
          <w:rStyle w:val="h3"/>
          <w:lang w:val="en-GB"/>
        </w:rPr>
        <w:t>The procedure follows the following scheme</w:t>
      </w:r>
    </w:p>
    <w:p w14:paraId="79E91036" w14:textId="7D1FEF75" w:rsidR="00B91904" w:rsidRPr="00853D84" w:rsidRDefault="00B91904" w:rsidP="00404FAC">
      <w:pPr>
        <w:pStyle w:val="NormalWeb"/>
        <w:rPr>
          <w:lang w:val="en-GB"/>
        </w:rPr>
      </w:pPr>
      <w:r w:rsidRPr="00853D84">
        <w:rPr>
          <w:rFonts w:eastAsia="Times New Roman"/>
          <w:noProof/>
          <w:lang w:val="en-GB"/>
        </w:rPr>
        <w:drawing>
          <wp:inline distT="0" distB="0" distL="0" distR="0" wp14:anchorId="4D3267D8" wp14:editId="63944198">
            <wp:extent cx="3441600" cy="2512800"/>
            <wp:effectExtent l="0" t="0" r="698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1600" cy="2512800"/>
                    </a:xfrm>
                    <a:prstGeom prst="rect">
                      <a:avLst/>
                    </a:prstGeom>
                    <a:noFill/>
                    <a:ln>
                      <a:noFill/>
                    </a:ln>
                  </pic:spPr>
                </pic:pic>
              </a:graphicData>
            </a:graphic>
          </wp:inline>
        </w:drawing>
      </w:r>
    </w:p>
    <w:p w14:paraId="02713391" w14:textId="32F7DBBB" w:rsidR="00527A29" w:rsidRPr="00853D84" w:rsidRDefault="00527A29" w:rsidP="00527A29">
      <w:pPr>
        <w:pStyle w:val="BodyText"/>
        <w:numPr>
          <w:ilvl w:val="0"/>
          <w:numId w:val="31"/>
        </w:numPr>
        <w:rPr>
          <w:rFonts w:eastAsia="Times New Roman"/>
          <w:lang w:val="en-GB"/>
        </w:rPr>
      </w:pPr>
      <w:r w:rsidRPr="00853D84">
        <w:rPr>
          <w:rFonts w:eastAsia="Times New Roman"/>
          <w:lang w:val="en-GB"/>
        </w:rPr>
        <w:t>each user of an interface receives a set of access credentials (client credentials) from the provider, consisting of "client id" and "client secret".</w:t>
      </w:r>
    </w:p>
    <w:p w14:paraId="4BD3E531" w14:textId="71821BEF" w:rsidR="00527A29" w:rsidRPr="00853D84" w:rsidRDefault="00527A29" w:rsidP="00527A29">
      <w:pPr>
        <w:pStyle w:val="BodyText"/>
        <w:numPr>
          <w:ilvl w:val="0"/>
          <w:numId w:val="31"/>
        </w:numPr>
        <w:rPr>
          <w:rFonts w:eastAsia="Times New Roman"/>
          <w:lang w:val="en-GB"/>
        </w:rPr>
      </w:pPr>
      <w:r w:rsidRPr="00853D84">
        <w:rPr>
          <w:rFonts w:eastAsia="Times New Roman"/>
          <w:lang w:val="en-GB"/>
        </w:rPr>
        <w:t>these credentials are used by the user to obtain an access token</w:t>
      </w:r>
    </w:p>
    <w:p w14:paraId="1B0C6664" w14:textId="7FF3B63D" w:rsidR="00527A29" w:rsidRPr="00853D84" w:rsidRDefault="00527A29" w:rsidP="00527A29">
      <w:pPr>
        <w:pStyle w:val="BodyText"/>
        <w:numPr>
          <w:ilvl w:val="0"/>
          <w:numId w:val="31"/>
        </w:numPr>
        <w:rPr>
          <w:rFonts w:eastAsia="Times New Roman"/>
          <w:lang w:val="en-GB"/>
        </w:rPr>
      </w:pPr>
      <w:r w:rsidRPr="00853D84">
        <w:rPr>
          <w:rFonts w:eastAsia="Times New Roman"/>
          <w:lang w:val="en-GB"/>
        </w:rPr>
        <w:t>in every request sent by the user to the provider's interface, the access token must be sent as well</w:t>
      </w:r>
    </w:p>
    <w:p w14:paraId="29351DEE" w14:textId="2FA9B0BD" w:rsidR="00404FAC" w:rsidRPr="00853D84" w:rsidRDefault="00527A29" w:rsidP="00527A29">
      <w:pPr>
        <w:pStyle w:val="BodyText"/>
        <w:numPr>
          <w:ilvl w:val="0"/>
          <w:numId w:val="31"/>
        </w:numPr>
        <w:rPr>
          <w:rFonts w:eastAsia="Times New Roman"/>
          <w:lang w:val="en-GB"/>
        </w:rPr>
      </w:pPr>
      <w:r w:rsidRPr="00853D84">
        <w:rPr>
          <w:rFonts w:eastAsia="Times New Roman"/>
          <w:lang w:val="en-GB"/>
        </w:rPr>
        <w:t>the provider can assign the access token to a user (partner, platform) in a verifiably secure and unambiguous manner, and thus verify the authenticity of the messages.</w:t>
      </w:r>
    </w:p>
    <w:p w14:paraId="75C9F5EB" w14:textId="354C5C05" w:rsidR="00404FAC" w:rsidRPr="00853D84" w:rsidRDefault="00404FAC" w:rsidP="00404FAC">
      <w:pPr>
        <w:pStyle w:val="Heading5"/>
        <w:rPr>
          <w:rFonts w:eastAsia="Times New Roman"/>
          <w:lang w:val="en-GB"/>
        </w:rPr>
      </w:pPr>
      <w:r w:rsidRPr="00853D84">
        <w:rPr>
          <w:rFonts w:eastAsia="Times New Roman"/>
          <w:lang w:val="en-GB"/>
        </w:rPr>
        <w:t>Token</w:t>
      </w:r>
      <w:r w:rsidR="00051619" w:rsidRPr="00853D84">
        <w:rPr>
          <w:rFonts w:eastAsia="Times New Roman"/>
          <w:lang w:val="en-GB"/>
        </w:rPr>
        <w:t xml:space="preserve"> creation</w:t>
      </w:r>
    </w:p>
    <w:p w14:paraId="34D58E03" w14:textId="45EC9963" w:rsidR="008B126C" w:rsidRPr="00853D84" w:rsidRDefault="008B126C" w:rsidP="008B126C">
      <w:pPr>
        <w:pStyle w:val="BodyText"/>
        <w:rPr>
          <w:lang w:val="en-GB"/>
        </w:rPr>
      </w:pPr>
      <w:r w:rsidRPr="00853D84">
        <w:rPr>
          <w:lang w:val="en-GB"/>
        </w:rPr>
        <w:t xml:space="preserve">The OAuth 2.0 </w:t>
      </w:r>
      <w:r w:rsidRPr="00853D84">
        <w:rPr>
          <w:b/>
          <w:lang w:val="en-GB"/>
        </w:rPr>
        <w:t>Client Credentials Grant</w:t>
      </w:r>
      <w:r w:rsidRPr="00853D84">
        <w:rPr>
          <w:lang w:val="en-GB"/>
        </w:rPr>
        <w:t xml:space="preserve"> (</w:t>
      </w:r>
      <w:hyperlink r:id="rId17" w:anchor="section-4.4" w:history="1">
        <w:r w:rsidRPr="00853D84">
          <w:rPr>
            <w:rStyle w:val="Hyperlink"/>
            <w:lang w:val="en-GB"/>
          </w:rPr>
          <w:t>https://datatracker.ietf.org/doc/html/rfc6749#section-4.4</w:t>
        </w:r>
      </w:hyperlink>
      <w:r w:rsidRPr="00853D84">
        <w:rPr>
          <w:lang w:val="en-GB"/>
        </w:rPr>
        <w:t>) flow is used to obtain the access tokens (step 2).</w:t>
      </w:r>
    </w:p>
    <w:p w14:paraId="04ECC999" w14:textId="5D848056" w:rsidR="00404FAC" w:rsidRPr="00853D84" w:rsidRDefault="008B126C" w:rsidP="008B126C">
      <w:pPr>
        <w:pStyle w:val="BodyText"/>
        <w:rPr>
          <w:lang w:val="en-GB"/>
        </w:rPr>
      </w:pPr>
      <w:r w:rsidRPr="00853D84">
        <w:rPr>
          <w:lang w:val="en-GB"/>
        </w:rPr>
        <w:t xml:space="preserve">For this purpose, the provider provides a </w:t>
      </w:r>
      <w:r w:rsidR="00A724D5" w:rsidRPr="00853D84">
        <w:rPr>
          <w:lang w:val="en-GB"/>
        </w:rPr>
        <w:t xml:space="preserve">dedicated </w:t>
      </w:r>
      <w:r w:rsidRPr="00853D84">
        <w:rPr>
          <w:lang w:val="en-GB"/>
        </w:rPr>
        <w:t xml:space="preserve">token endpoint, which delivers the access token </w:t>
      </w:r>
      <w:r w:rsidR="006A6ABD" w:rsidRPr="00853D84">
        <w:rPr>
          <w:lang w:val="en-GB"/>
        </w:rPr>
        <w:t xml:space="preserve">in exchange for </w:t>
      </w:r>
      <w:r w:rsidRPr="00853D84">
        <w:rPr>
          <w:lang w:val="en-GB"/>
        </w:rPr>
        <w:t>the client credentials.</w:t>
      </w:r>
    </w:p>
    <w:p w14:paraId="0AFEA696" w14:textId="77777777" w:rsidR="00404FAC" w:rsidRPr="00853D84" w:rsidRDefault="00404FAC" w:rsidP="00404FAC">
      <w:pPr>
        <w:rPr>
          <w:rFonts w:eastAsia="Times New Roman"/>
          <w:lang w:val="en-GB"/>
        </w:rPr>
      </w:pPr>
      <w:r w:rsidRPr="00853D84">
        <w:rPr>
          <w:rFonts w:eastAsia="Times New Roman"/>
          <w:lang w:val="en-GB"/>
        </w:rPr>
        <w:t xml:space="preserve">Token Request </w:t>
      </w:r>
    </w:p>
    <w:p w14:paraId="66497E37" w14:textId="77777777" w:rsidR="00404FAC" w:rsidRPr="00853D84" w:rsidRDefault="00404FAC" w:rsidP="00B91904">
      <w:pPr>
        <w:pStyle w:val="CodeBlock"/>
        <w:rPr>
          <w:lang w:val="en-GB"/>
        </w:rPr>
      </w:pPr>
      <w:r w:rsidRPr="00853D84">
        <w:rPr>
          <w:lang w:val="en-GB"/>
        </w:rPr>
        <w:t>POST /token HTTP/1.1</w:t>
      </w:r>
    </w:p>
    <w:p w14:paraId="2C7BE6E3" w14:textId="77777777" w:rsidR="00404FAC" w:rsidRPr="00853D84" w:rsidRDefault="00404FAC" w:rsidP="00B91904">
      <w:pPr>
        <w:pStyle w:val="CodeBlock"/>
        <w:rPr>
          <w:lang w:val="en-GB"/>
        </w:rPr>
      </w:pPr>
      <w:r w:rsidRPr="00853D84">
        <w:rPr>
          <w:lang w:val="en-GB"/>
        </w:rPr>
        <w:t>Host: clearing.de</w:t>
      </w:r>
    </w:p>
    <w:p w14:paraId="28556350" w14:textId="77777777" w:rsidR="00404FAC" w:rsidRPr="00853D84" w:rsidRDefault="00404FAC" w:rsidP="00B91904">
      <w:pPr>
        <w:pStyle w:val="CodeBlock"/>
        <w:rPr>
          <w:lang w:val="en-GB"/>
        </w:rPr>
      </w:pPr>
      <w:r w:rsidRPr="00853D84">
        <w:rPr>
          <w:lang w:val="en-GB"/>
        </w:rPr>
        <w:t xml:space="preserve"> </w:t>
      </w:r>
    </w:p>
    <w:p w14:paraId="6ECFCD86" w14:textId="77777777" w:rsidR="00404FAC" w:rsidRPr="00853D84" w:rsidRDefault="00404FAC" w:rsidP="00B91904">
      <w:pPr>
        <w:pStyle w:val="CodeBlock"/>
        <w:rPr>
          <w:lang w:val="en-GB"/>
        </w:rPr>
      </w:pPr>
      <w:proofErr w:type="spellStart"/>
      <w:r w:rsidRPr="00853D84">
        <w:rPr>
          <w:lang w:val="en-GB"/>
        </w:rPr>
        <w:t>grant_type</w:t>
      </w:r>
      <w:proofErr w:type="spellEnd"/>
      <w:r w:rsidRPr="00853D84">
        <w:rPr>
          <w:lang w:val="en-GB"/>
        </w:rPr>
        <w:t>=</w:t>
      </w:r>
      <w:proofErr w:type="spellStart"/>
      <w:r w:rsidRPr="00853D84">
        <w:rPr>
          <w:lang w:val="en-GB"/>
        </w:rPr>
        <w:t>client_credentials</w:t>
      </w:r>
      <w:proofErr w:type="spellEnd"/>
    </w:p>
    <w:p w14:paraId="350C893D" w14:textId="77777777" w:rsidR="00404FAC" w:rsidRPr="00342F4B" w:rsidRDefault="00404FAC" w:rsidP="00B91904">
      <w:pPr>
        <w:pStyle w:val="CodeBlock"/>
        <w:rPr>
          <w:lang w:val="fr-FR"/>
        </w:rPr>
      </w:pPr>
      <w:r w:rsidRPr="00342F4B">
        <w:rPr>
          <w:lang w:val="fr-FR"/>
        </w:rPr>
        <w:t>&amp;</w:t>
      </w:r>
      <w:proofErr w:type="spellStart"/>
      <w:r w:rsidRPr="00342F4B">
        <w:rPr>
          <w:lang w:val="fr-FR"/>
        </w:rPr>
        <w:t>client_id</w:t>
      </w:r>
      <w:proofErr w:type="spellEnd"/>
      <w:r w:rsidRPr="00342F4B">
        <w:rPr>
          <w:lang w:val="fr-FR"/>
        </w:rPr>
        <w:t>=</w:t>
      </w:r>
      <w:proofErr w:type="spellStart"/>
      <w:r w:rsidRPr="00342F4B">
        <w:rPr>
          <w:lang w:val="fr-FR"/>
        </w:rPr>
        <w:t>xxxxxxxxxx</w:t>
      </w:r>
      <w:proofErr w:type="spellEnd"/>
    </w:p>
    <w:p w14:paraId="520307F8" w14:textId="5625C5BF" w:rsidR="00404FAC" w:rsidRPr="00342F4B" w:rsidRDefault="00404FAC" w:rsidP="00B91904">
      <w:pPr>
        <w:pStyle w:val="CodeBlock"/>
        <w:rPr>
          <w:lang w:val="fr-FR"/>
        </w:rPr>
      </w:pPr>
      <w:r w:rsidRPr="00342F4B">
        <w:rPr>
          <w:lang w:val="fr-FR"/>
        </w:rPr>
        <w:t>&amp;</w:t>
      </w:r>
      <w:proofErr w:type="spellStart"/>
      <w:r w:rsidRPr="00342F4B">
        <w:rPr>
          <w:lang w:val="fr-FR"/>
        </w:rPr>
        <w:t>client_secret</w:t>
      </w:r>
      <w:proofErr w:type="spellEnd"/>
      <w:r w:rsidRPr="00342F4B">
        <w:rPr>
          <w:lang w:val="fr-FR"/>
        </w:rPr>
        <w:t>=</w:t>
      </w:r>
      <w:proofErr w:type="spellStart"/>
      <w:r w:rsidRPr="00342F4B">
        <w:rPr>
          <w:lang w:val="fr-FR"/>
        </w:rPr>
        <w:t>xxxxxxxxxx</w:t>
      </w:r>
      <w:proofErr w:type="spellEnd"/>
    </w:p>
    <w:p w14:paraId="59558E55" w14:textId="77777777" w:rsidR="00404FAC" w:rsidRPr="00853D84" w:rsidRDefault="00404FAC" w:rsidP="00404FAC">
      <w:pPr>
        <w:rPr>
          <w:rFonts w:eastAsia="Times New Roman"/>
          <w:lang w:val="en-GB"/>
        </w:rPr>
      </w:pPr>
      <w:r w:rsidRPr="00853D84">
        <w:rPr>
          <w:rFonts w:eastAsia="Times New Roman"/>
          <w:lang w:val="en-GB"/>
        </w:rPr>
        <w:t xml:space="preserve">Token Response </w:t>
      </w:r>
    </w:p>
    <w:p w14:paraId="42423988" w14:textId="77777777" w:rsidR="00404FAC" w:rsidRPr="00853D84" w:rsidRDefault="00404FAC" w:rsidP="00C84B45">
      <w:pPr>
        <w:pStyle w:val="CodeBlock"/>
        <w:rPr>
          <w:lang w:val="en-GB"/>
        </w:rPr>
      </w:pPr>
      <w:r w:rsidRPr="00853D84">
        <w:rPr>
          <w:lang w:val="en-GB"/>
        </w:rPr>
        <w:t>HTTP/1.1 200 OK</w:t>
      </w:r>
    </w:p>
    <w:p w14:paraId="01A5EA68" w14:textId="77777777" w:rsidR="00404FAC" w:rsidRPr="00853D84" w:rsidRDefault="00404FAC" w:rsidP="00C84B45">
      <w:pPr>
        <w:pStyle w:val="CodeBlock"/>
        <w:rPr>
          <w:lang w:val="en-GB"/>
        </w:rPr>
      </w:pPr>
      <w:r w:rsidRPr="00853D84">
        <w:rPr>
          <w:lang w:val="en-GB"/>
        </w:rPr>
        <w:t>Content-Type: application/</w:t>
      </w:r>
      <w:proofErr w:type="spellStart"/>
      <w:r w:rsidRPr="00853D84">
        <w:rPr>
          <w:lang w:val="en-GB"/>
        </w:rPr>
        <w:t>json</w:t>
      </w:r>
      <w:proofErr w:type="spellEnd"/>
    </w:p>
    <w:p w14:paraId="551E3CA5" w14:textId="77777777" w:rsidR="00404FAC" w:rsidRPr="00853D84" w:rsidRDefault="00404FAC" w:rsidP="00C84B45">
      <w:pPr>
        <w:pStyle w:val="CodeBlock"/>
        <w:rPr>
          <w:lang w:val="en-GB"/>
        </w:rPr>
      </w:pPr>
      <w:r w:rsidRPr="00853D84">
        <w:rPr>
          <w:lang w:val="en-GB"/>
        </w:rPr>
        <w:t>Cache-Control: no-store</w:t>
      </w:r>
    </w:p>
    <w:p w14:paraId="04096DDF" w14:textId="77777777" w:rsidR="00404FAC" w:rsidRPr="00853D84" w:rsidRDefault="00404FAC" w:rsidP="00C84B45">
      <w:pPr>
        <w:pStyle w:val="CodeBlock"/>
        <w:rPr>
          <w:lang w:val="en-GB"/>
        </w:rPr>
      </w:pPr>
      <w:r w:rsidRPr="00853D84">
        <w:rPr>
          <w:lang w:val="en-GB"/>
        </w:rPr>
        <w:t xml:space="preserve"> </w:t>
      </w:r>
    </w:p>
    <w:p w14:paraId="78C8C07A" w14:textId="77777777" w:rsidR="00404FAC" w:rsidRPr="00853D84" w:rsidRDefault="00404FAC" w:rsidP="00C84B45">
      <w:pPr>
        <w:pStyle w:val="CodeBlock"/>
        <w:rPr>
          <w:lang w:val="en-GB"/>
        </w:rPr>
      </w:pPr>
      <w:r w:rsidRPr="00853D84">
        <w:rPr>
          <w:lang w:val="en-GB"/>
        </w:rPr>
        <w:t>{</w:t>
      </w:r>
    </w:p>
    <w:p w14:paraId="488CF890" w14:textId="77777777" w:rsidR="00404FAC" w:rsidRPr="00853D84" w:rsidRDefault="00404FAC" w:rsidP="00C84B45">
      <w:pPr>
        <w:pStyle w:val="CodeBlock"/>
        <w:rPr>
          <w:lang w:val="en-GB"/>
        </w:rPr>
      </w:pPr>
      <w:r w:rsidRPr="00853D84">
        <w:rPr>
          <w:lang w:val="en-GB"/>
        </w:rPr>
        <w:t xml:space="preserve">  "</w:t>
      </w:r>
      <w:proofErr w:type="gramStart"/>
      <w:r w:rsidRPr="00853D84">
        <w:rPr>
          <w:lang w:val="en-GB"/>
        </w:rPr>
        <w:t>access</w:t>
      </w:r>
      <w:proofErr w:type="gramEnd"/>
      <w:r w:rsidRPr="00853D84">
        <w:rPr>
          <w:lang w:val="en-GB"/>
        </w:rPr>
        <w:t>_token":"MTQ0NjJkZmQ5OTM2NDE1ZTZjNGZmZjI3",</w:t>
      </w:r>
    </w:p>
    <w:p w14:paraId="63288A0C" w14:textId="77777777" w:rsidR="00404FAC" w:rsidRPr="00853D84" w:rsidRDefault="00404FAC" w:rsidP="00C84B45">
      <w:pPr>
        <w:pStyle w:val="CodeBlock"/>
        <w:rPr>
          <w:lang w:val="en-GB"/>
        </w:rPr>
      </w:pPr>
      <w:r w:rsidRPr="00853D84">
        <w:rPr>
          <w:lang w:val="en-GB"/>
        </w:rPr>
        <w:t xml:space="preserve">  "</w:t>
      </w:r>
      <w:proofErr w:type="spellStart"/>
      <w:proofErr w:type="gramStart"/>
      <w:r w:rsidRPr="00853D84">
        <w:rPr>
          <w:lang w:val="en-GB"/>
        </w:rPr>
        <w:t>token</w:t>
      </w:r>
      <w:proofErr w:type="gramEnd"/>
      <w:r w:rsidRPr="00853D84">
        <w:rPr>
          <w:lang w:val="en-GB"/>
        </w:rPr>
        <w:t>_type":"Bearer</w:t>
      </w:r>
      <w:proofErr w:type="spellEnd"/>
      <w:r w:rsidRPr="00853D84">
        <w:rPr>
          <w:lang w:val="en-GB"/>
        </w:rPr>
        <w:t>",</w:t>
      </w:r>
    </w:p>
    <w:p w14:paraId="2544D11E" w14:textId="77777777" w:rsidR="00404FAC" w:rsidRPr="00853D84" w:rsidRDefault="00404FAC" w:rsidP="00C84B45">
      <w:pPr>
        <w:pStyle w:val="CodeBlock"/>
        <w:rPr>
          <w:lang w:val="en-GB"/>
        </w:rPr>
      </w:pPr>
      <w:r w:rsidRPr="00853D84">
        <w:rPr>
          <w:lang w:val="en-GB"/>
        </w:rPr>
        <w:t xml:space="preserve">  "</w:t>
      </w:r>
      <w:proofErr w:type="gramStart"/>
      <w:r w:rsidRPr="00853D84">
        <w:rPr>
          <w:lang w:val="en-GB"/>
        </w:rPr>
        <w:t>expires</w:t>
      </w:r>
      <w:proofErr w:type="gramEnd"/>
      <w:r w:rsidRPr="00853D84">
        <w:rPr>
          <w:lang w:val="en-GB"/>
        </w:rPr>
        <w:t>_in":3600,</w:t>
      </w:r>
    </w:p>
    <w:p w14:paraId="5C172ECF" w14:textId="77777777" w:rsidR="00404FAC" w:rsidRPr="00853D84" w:rsidRDefault="00404FAC" w:rsidP="00C84B45">
      <w:pPr>
        <w:pStyle w:val="CodeBlock"/>
        <w:rPr>
          <w:lang w:val="en-GB"/>
        </w:rPr>
      </w:pPr>
      <w:r w:rsidRPr="00853D84">
        <w:rPr>
          <w:lang w:val="en-GB"/>
        </w:rPr>
        <w:t xml:space="preserve">  "</w:t>
      </w:r>
      <w:proofErr w:type="gramStart"/>
      <w:r w:rsidRPr="00853D84">
        <w:rPr>
          <w:lang w:val="en-GB"/>
        </w:rPr>
        <w:t>refresh</w:t>
      </w:r>
      <w:proofErr w:type="gramEnd"/>
      <w:r w:rsidRPr="00853D84">
        <w:rPr>
          <w:lang w:val="en-GB"/>
        </w:rPr>
        <w:t>_token":"IwOGYzYTlmM2YxOTQ5MGE3YmNmMDFkNTVk",</w:t>
      </w:r>
    </w:p>
    <w:p w14:paraId="006B9CE9" w14:textId="77777777" w:rsidR="00404FAC" w:rsidRPr="00853D84" w:rsidRDefault="00404FAC" w:rsidP="00C84B45">
      <w:pPr>
        <w:pStyle w:val="CodeBlock"/>
        <w:rPr>
          <w:lang w:val="en-GB"/>
        </w:rPr>
      </w:pPr>
      <w:r w:rsidRPr="00853D84">
        <w:rPr>
          <w:lang w:val="en-GB"/>
        </w:rPr>
        <w:t xml:space="preserve">  "</w:t>
      </w:r>
      <w:proofErr w:type="spellStart"/>
      <w:r w:rsidRPr="00853D84">
        <w:rPr>
          <w:lang w:val="en-GB"/>
        </w:rPr>
        <w:t>scope":"clearing</w:t>
      </w:r>
      <w:proofErr w:type="spellEnd"/>
      <w:r w:rsidRPr="00853D84">
        <w:rPr>
          <w:lang w:val="en-GB"/>
        </w:rPr>
        <w:t>"</w:t>
      </w:r>
    </w:p>
    <w:p w14:paraId="3B6F44BA" w14:textId="77777777" w:rsidR="00404FAC" w:rsidRPr="00853D84" w:rsidRDefault="00404FAC" w:rsidP="00C84B45">
      <w:pPr>
        <w:pStyle w:val="CodeBlock"/>
        <w:rPr>
          <w:lang w:val="en-GB"/>
        </w:rPr>
      </w:pPr>
      <w:r w:rsidRPr="00853D84">
        <w:rPr>
          <w:lang w:val="en-GB"/>
        </w:rPr>
        <w:t>}</w:t>
      </w:r>
    </w:p>
    <w:p w14:paraId="3E20E89C" w14:textId="77777777" w:rsidR="00F33BC8" w:rsidRPr="00853D84" w:rsidRDefault="00F33BC8" w:rsidP="00F33BC8">
      <w:pPr>
        <w:pStyle w:val="BodyText"/>
        <w:rPr>
          <w:rFonts w:eastAsia="Times New Roman"/>
          <w:lang w:val="en-GB"/>
        </w:rPr>
      </w:pPr>
      <w:r w:rsidRPr="00853D84">
        <w:rPr>
          <w:rFonts w:eastAsia="Times New Roman"/>
          <w:lang w:val="en-GB"/>
        </w:rPr>
        <w:t xml:space="preserve">The access tokens generated in this way are short-lived (one hour in the above example) and thus offer a considerably smaller attack surface than (long-lived) access data. </w:t>
      </w:r>
    </w:p>
    <w:p w14:paraId="0F888A28" w14:textId="77777777" w:rsidR="00F33BC8" w:rsidRPr="00853D84" w:rsidRDefault="00F33BC8" w:rsidP="00F33BC8">
      <w:pPr>
        <w:pStyle w:val="BodyText"/>
        <w:rPr>
          <w:rFonts w:eastAsia="Times New Roman"/>
          <w:lang w:val="en-GB"/>
        </w:rPr>
      </w:pPr>
      <w:r w:rsidRPr="00853D84">
        <w:rPr>
          <w:rFonts w:eastAsia="Times New Roman"/>
          <w:lang w:val="en-GB"/>
        </w:rPr>
        <w:t xml:space="preserve">NO specifications are made regarding the structure of the access tokens. The provider is responsible for ensuring that it is not possible for an attacker to improperly generate tokens on behalf of third parties. </w:t>
      </w:r>
    </w:p>
    <w:p w14:paraId="0428E013" w14:textId="77777777" w:rsidR="00F33BC8" w:rsidRPr="00853D84" w:rsidRDefault="00F33BC8" w:rsidP="00F33BC8">
      <w:pPr>
        <w:pStyle w:val="BodyText"/>
        <w:rPr>
          <w:rFonts w:eastAsia="Times New Roman"/>
          <w:lang w:val="en-GB"/>
        </w:rPr>
      </w:pPr>
      <w:r w:rsidRPr="00853D84">
        <w:rPr>
          <w:rFonts w:eastAsia="Times New Roman"/>
          <w:lang w:val="en-GB"/>
        </w:rPr>
        <w:t>Common implementation variants for this are</w:t>
      </w:r>
    </w:p>
    <w:p w14:paraId="2F28ED94" w14:textId="5B59A65B" w:rsidR="00F33BC8" w:rsidRPr="00853D84" w:rsidRDefault="00F33BC8" w:rsidP="005F0E42">
      <w:pPr>
        <w:pStyle w:val="BodyText"/>
        <w:numPr>
          <w:ilvl w:val="0"/>
          <w:numId w:val="41"/>
        </w:numPr>
        <w:rPr>
          <w:rFonts w:eastAsia="Times New Roman"/>
          <w:lang w:val="en-GB"/>
        </w:rPr>
      </w:pPr>
      <w:r w:rsidRPr="00853D84">
        <w:rPr>
          <w:rFonts w:eastAsia="Times New Roman"/>
          <w:b/>
          <w:lang w:val="en-GB"/>
        </w:rPr>
        <w:t>Signed tokens</w:t>
      </w:r>
      <w:r w:rsidRPr="00853D84">
        <w:rPr>
          <w:rFonts w:eastAsia="Times New Roman"/>
          <w:lang w:val="en-GB"/>
        </w:rPr>
        <w:t xml:space="preserve">: Usually implemented as </w:t>
      </w:r>
      <w:proofErr w:type="spellStart"/>
      <w:r w:rsidRPr="00853D84">
        <w:rPr>
          <w:rFonts w:eastAsia="Times New Roman"/>
          <w:b/>
          <w:lang w:val="en-GB"/>
        </w:rPr>
        <w:t>Json</w:t>
      </w:r>
      <w:proofErr w:type="spellEnd"/>
      <w:r w:rsidRPr="00853D84">
        <w:rPr>
          <w:rFonts w:eastAsia="Times New Roman"/>
          <w:b/>
          <w:lang w:val="en-GB"/>
        </w:rPr>
        <w:t xml:space="preserve"> Web Tokens</w:t>
      </w:r>
      <w:r w:rsidRPr="00853D84">
        <w:rPr>
          <w:rFonts w:eastAsia="Times New Roman"/>
          <w:lang w:val="en-GB"/>
        </w:rPr>
        <w:t xml:space="preserve"> (JWT) </w:t>
      </w:r>
      <w:hyperlink r:id="rId18" w:history="1">
        <w:r w:rsidR="005D3165" w:rsidRPr="00853D84">
          <w:rPr>
            <w:rStyle w:val="Hyperlink"/>
            <w:rFonts w:eastAsia="Times New Roman"/>
            <w:lang w:val="en-GB"/>
          </w:rPr>
          <w:t>https://datatracker.ietf.org/doc/html/rfc7519</w:t>
        </w:r>
      </w:hyperlink>
      <w:r w:rsidR="005D3165" w:rsidRPr="00853D84">
        <w:rPr>
          <w:rFonts w:eastAsia="Times New Roman"/>
          <w:lang w:val="en-GB"/>
        </w:rPr>
        <w:t>.</w:t>
      </w:r>
      <w:r w:rsidRPr="00853D84">
        <w:rPr>
          <w:rFonts w:eastAsia="Times New Roman"/>
          <w:lang w:val="en-GB"/>
        </w:rPr>
        <w:t xml:space="preserve"> In this case, a data packet containing information about the user's identity is signed by the provider with a non-public key. By checking the signature of these tokens, the provider can verify the authenticity of the tokens and prevent attackers from generating new tokens. Signed tokens allow the provider to forgo sessions or similar server-side state keeping. See also </w:t>
      </w:r>
      <w:hyperlink r:id="rId19" w:history="1">
        <w:r w:rsidR="006C6AC8" w:rsidRPr="00853D84">
          <w:rPr>
            <w:rStyle w:val="Hyperlink"/>
            <w:rFonts w:eastAsia="Times New Roman"/>
            <w:lang w:val="en-GB"/>
          </w:rPr>
          <w:t>https://ldapwiki.com/wiki/JSON%20Web%20Tokens</w:t>
        </w:r>
      </w:hyperlink>
      <w:r w:rsidR="006C6AC8" w:rsidRPr="00853D84">
        <w:rPr>
          <w:rFonts w:eastAsia="Times New Roman"/>
          <w:lang w:val="en-GB"/>
        </w:rPr>
        <w:t xml:space="preserve"> </w:t>
      </w:r>
    </w:p>
    <w:p w14:paraId="7450219B" w14:textId="7FB07E70" w:rsidR="00404FAC" w:rsidRPr="00853D84" w:rsidRDefault="00F33BC8" w:rsidP="005F0E42">
      <w:pPr>
        <w:pStyle w:val="BodyText"/>
        <w:numPr>
          <w:ilvl w:val="0"/>
          <w:numId w:val="41"/>
        </w:numPr>
        <w:rPr>
          <w:rFonts w:eastAsia="Times New Roman"/>
          <w:lang w:val="en-GB"/>
        </w:rPr>
      </w:pPr>
      <w:r w:rsidRPr="00853D84">
        <w:rPr>
          <w:rFonts w:eastAsia="Times New Roman"/>
          <w:b/>
          <w:lang w:val="en-GB"/>
        </w:rPr>
        <w:t>Opaque tokens</w:t>
      </w:r>
      <w:r w:rsidRPr="00853D84">
        <w:rPr>
          <w:rFonts w:eastAsia="Times New Roman"/>
          <w:lang w:val="en-GB"/>
        </w:rPr>
        <w:t>: The token consists of a reference (identifier) to a server-side context (usually a session) in which the user's identity is stored. An attacker cannot manipulate this context and thus cannot generate new tokens on behalf of third parties.</w:t>
      </w:r>
      <w:r w:rsidR="00051619" w:rsidRPr="00853D84">
        <w:rPr>
          <w:rFonts w:eastAsia="Times New Roman"/>
          <w:lang w:val="en-GB"/>
        </w:rPr>
        <w:t xml:space="preserve"> See also </w:t>
      </w:r>
      <w:hyperlink r:id="rId20" w:history="1">
        <w:r w:rsidR="00051619" w:rsidRPr="00853D84">
          <w:rPr>
            <w:rStyle w:val="Hyperlink"/>
            <w:rFonts w:eastAsia="Times New Roman"/>
            <w:lang w:val="en-GB"/>
          </w:rPr>
          <w:t>https://ldapwiki.com/wiki/Opaque%20token</w:t>
        </w:r>
      </w:hyperlink>
      <w:r w:rsidR="00051619" w:rsidRPr="00853D84">
        <w:rPr>
          <w:rFonts w:eastAsia="Times New Roman"/>
          <w:lang w:val="en-GB"/>
        </w:rPr>
        <w:t>.</w:t>
      </w:r>
    </w:p>
    <w:p w14:paraId="41262D52" w14:textId="2D6B5C4C" w:rsidR="00404FAC" w:rsidRPr="00853D84" w:rsidRDefault="00404FAC" w:rsidP="00404FAC">
      <w:pPr>
        <w:pStyle w:val="Heading5"/>
        <w:rPr>
          <w:rFonts w:eastAsia="Times New Roman"/>
          <w:lang w:val="en-GB"/>
        </w:rPr>
      </w:pPr>
      <w:r w:rsidRPr="00853D84">
        <w:rPr>
          <w:rFonts w:eastAsia="Times New Roman"/>
          <w:lang w:val="en-GB"/>
        </w:rPr>
        <w:t>Access Tokens</w:t>
      </w:r>
      <w:r w:rsidR="00051619" w:rsidRPr="00853D84">
        <w:rPr>
          <w:rFonts w:eastAsia="Times New Roman"/>
          <w:lang w:val="en-GB"/>
        </w:rPr>
        <w:t xml:space="preserve"> usage</w:t>
      </w:r>
    </w:p>
    <w:p w14:paraId="70A57FEC" w14:textId="68AD147F" w:rsidR="00404FAC" w:rsidRPr="00853D84" w:rsidRDefault="002A65F8" w:rsidP="00C84B45">
      <w:pPr>
        <w:pStyle w:val="BodyText"/>
        <w:rPr>
          <w:lang w:val="en-GB"/>
        </w:rPr>
      </w:pPr>
      <w:r w:rsidRPr="00853D84">
        <w:rPr>
          <w:lang w:val="en-GB"/>
        </w:rPr>
        <w:t xml:space="preserve">Access tokens are used in the form of bearer tokens, see </w:t>
      </w:r>
      <w:r w:rsidRPr="00853D84">
        <w:rPr>
          <w:b/>
          <w:lang w:val="en-GB"/>
        </w:rPr>
        <w:t>The OAuth 2.0 Authorization Framework: Bearer Token Usage</w:t>
      </w:r>
      <w:r w:rsidR="00130354" w:rsidRPr="00853D84">
        <w:rPr>
          <w:lang w:val="en-GB"/>
        </w:rPr>
        <w:t xml:space="preserve">, </w:t>
      </w:r>
      <w:hyperlink r:id="rId21" w:history="1">
        <w:r w:rsidR="00130354" w:rsidRPr="00853D84">
          <w:rPr>
            <w:rStyle w:val="Hyperlink"/>
            <w:lang w:val="en-GB"/>
          </w:rPr>
          <w:t>https://datatracker.ietf.org/doc/html/rfc6750</w:t>
        </w:r>
      </w:hyperlink>
      <w:r w:rsidR="00404FAC" w:rsidRPr="00853D84">
        <w:rPr>
          <w:lang w:val="en-GB"/>
        </w:rPr>
        <w:t> </w:t>
      </w:r>
    </w:p>
    <w:p w14:paraId="18297879" w14:textId="77777777" w:rsidR="00404FAC" w:rsidRPr="00853D84" w:rsidRDefault="00404FAC" w:rsidP="00C84B45">
      <w:pPr>
        <w:pStyle w:val="CodeBlock"/>
        <w:rPr>
          <w:lang w:val="en-GB"/>
        </w:rPr>
      </w:pPr>
      <w:r w:rsidRPr="00853D84">
        <w:rPr>
          <w:lang w:val="en-GB"/>
        </w:rPr>
        <w:t>GET /</w:t>
      </w:r>
      <w:proofErr w:type="spellStart"/>
      <w:r w:rsidRPr="00853D84">
        <w:rPr>
          <w:lang w:val="en-GB"/>
        </w:rPr>
        <w:t>troubletickets</w:t>
      </w:r>
      <w:proofErr w:type="spellEnd"/>
      <w:r w:rsidRPr="00853D84">
        <w:rPr>
          <w:lang w:val="en-GB"/>
        </w:rPr>
        <w:t xml:space="preserve"> HTTP/1.1</w:t>
      </w:r>
    </w:p>
    <w:p w14:paraId="09FF77A0" w14:textId="77777777" w:rsidR="00404FAC" w:rsidRPr="00853D84" w:rsidRDefault="00404FAC" w:rsidP="00C84B45">
      <w:pPr>
        <w:pStyle w:val="CodeBlock"/>
        <w:rPr>
          <w:lang w:val="en-GB"/>
        </w:rPr>
      </w:pPr>
      <w:r w:rsidRPr="00853D84">
        <w:rPr>
          <w:lang w:val="en-GB"/>
        </w:rPr>
        <w:t>Host: clearing.de</w:t>
      </w:r>
    </w:p>
    <w:p w14:paraId="289CFB69" w14:textId="77777777" w:rsidR="00404FAC" w:rsidRPr="00853D84" w:rsidRDefault="00404FAC" w:rsidP="00C84B45">
      <w:pPr>
        <w:pStyle w:val="CodeBlock"/>
        <w:rPr>
          <w:lang w:val="en-GB"/>
        </w:rPr>
      </w:pPr>
      <w:r w:rsidRPr="00853D84">
        <w:rPr>
          <w:lang w:val="en-GB"/>
        </w:rPr>
        <w:t>Authorization: Bearer MTQ0NjJkZmQ5OTM2NDE1ZTZjNGZmZjI3</w:t>
      </w:r>
    </w:p>
    <w:p w14:paraId="3CB0B258" w14:textId="03615F1F" w:rsidR="00404FAC" w:rsidRPr="00853D84" w:rsidRDefault="00081BD6" w:rsidP="00404FAC">
      <w:pPr>
        <w:pStyle w:val="Heading3"/>
        <w:rPr>
          <w:rFonts w:eastAsia="Times New Roman"/>
          <w:lang w:val="en-GB"/>
        </w:rPr>
      </w:pPr>
      <w:bookmarkStart w:id="6" w:name="_Toc107915839"/>
      <w:r w:rsidRPr="00853D84">
        <w:rPr>
          <w:rFonts w:eastAsia="Times New Roman"/>
          <w:lang w:val="en-GB"/>
        </w:rPr>
        <w:t>Safe channel</w:t>
      </w:r>
      <w:bookmarkEnd w:id="6"/>
      <w:r w:rsidR="00404FAC" w:rsidRPr="00853D84">
        <w:rPr>
          <w:rFonts w:eastAsia="Times New Roman"/>
          <w:lang w:val="en-GB"/>
        </w:rPr>
        <w:t> </w:t>
      </w:r>
    </w:p>
    <w:p w14:paraId="61B6B980" w14:textId="2CF0ADED" w:rsidR="00404FAC" w:rsidRPr="00853D84" w:rsidRDefault="00081BD6" w:rsidP="00C84B45">
      <w:pPr>
        <w:pStyle w:val="BodyText"/>
        <w:rPr>
          <w:lang w:val="en-GB"/>
        </w:rPr>
      </w:pPr>
      <w:r w:rsidRPr="00853D84">
        <w:rPr>
          <w:lang w:val="en-GB"/>
        </w:rPr>
        <w:t>Since there is no central element in the network of platforms, the access data must be exchanged in pairs for each communication partner in a secure way. This process is part of the onboarding of new platforms</w:t>
      </w:r>
      <w:r w:rsidR="00404FAC" w:rsidRPr="00853D84">
        <w:rPr>
          <w:lang w:val="en-GB"/>
        </w:rPr>
        <w:t>.</w:t>
      </w:r>
    </w:p>
    <w:p w14:paraId="605FFD17" w14:textId="0CF0432B" w:rsidR="00404FAC" w:rsidRPr="00853D84" w:rsidRDefault="00882824" w:rsidP="00404FAC">
      <w:pPr>
        <w:pStyle w:val="Heading1"/>
        <w:rPr>
          <w:lang w:val="en-GB"/>
        </w:rPr>
      </w:pPr>
      <w:bookmarkStart w:id="7" w:name="_Toc107915840"/>
      <w:r w:rsidRPr="00853D84">
        <w:rPr>
          <w:lang w:val="en-GB"/>
        </w:rPr>
        <w:t>Data privacy</w:t>
      </w:r>
      <w:bookmarkEnd w:id="7"/>
    </w:p>
    <w:p w14:paraId="5D7D460D" w14:textId="2A199028" w:rsidR="00404FAC" w:rsidRPr="00853D84" w:rsidRDefault="00D474F5" w:rsidP="00902EC3">
      <w:pPr>
        <w:pStyle w:val="Heading2"/>
        <w:rPr>
          <w:rFonts w:eastAsia="Times New Roman"/>
          <w:lang w:val="en-GB"/>
        </w:rPr>
      </w:pPr>
      <w:bookmarkStart w:id="8" w:name="_Toc107915841"/>
      <w:r w:rsidRPr="00853D84">
        <w:rPr>
          <w:rStyle w:val="inline-comment-marker"/>
          <w:rFonts w:eastAsia="Times New Roman"/>
          <w:lang w:val="en-GB"/>
        </w:rPr>
        <w:t xml:space="preserve">GDPR </w:t>
      </w:r>
      <w:proofErr w:type="spellStart"/>
      <w:r w:rsidRPr="00853D84">
        <w:rPr>
          <w:rStyle w:val="inline-comment-marker"/>
          <w:rFonts w:eastAsia="Times New Roman"/>
          <w:lang w:val="en-GB"/>
        </w:rPr>
        <w:t>conformancy</w:t>
      </w:r>
      <w:bookmarkEnd w:id="8"/>
      <w:proofErr w:type="spellEnd"/>
    </w:p>
    <w:p w14:paraId="6D7858E2" w14:textId="37052BED" w:rsidR="0092378B" w:rsidRPr="00853D84" w:rsidRDefault="0092378B" w:rsidP="0092378B">
      <w:pPr>
        <w:pStyle w:val="BodyText"/>
        <w:rPr>
          <w:lang w:val="en-GB"/>
        </w:rPr>
      </w:pPr>
      <w:r w:rsidRPr="00853D84">
        <w:rPr>
          <w:lang w:val="en-GB"/>
        </w:rPr>
        <w:t xml:space="preserve">The following statements relate to the processing of personal data by a platform. Since platforms generally only process this data on behalf of a partner, an agreement on commissioned data processing (AVV) must be concluded for each partner-platform relationship. The basis for this </w:t>
      </w:r>
      <w:r w:rsidR="00062691" w:rsidRPr="00853D84">
        <w:rPr>
          <w:lang w:val="en-GB"/>
        </w:rPr>
        <w:t>AVV</w:t>
      </w:r>
      <w:r w:rsidRPr="00853D84">
        <w:rPr>
          <w:lang w:val="en-GB"/>
        </w:rPr>
        <w:t>(s) is the information below.</w:t>
      </w:r>
    </w:p>
    <w:p w14:paraId="3CF6C8BE" w14:textId="3E6D6241" w:rsidR="0092378B" w:rsidRPr="00853D84" w:rsidRDefault="0092378B" w:rsidP="0092378B">
      <w:pPr>
        <w:pStyle w:val="BodyText"/>
        <w:rPr>
          <w:lang w:val="en-GB"/>
        </w:rPr>
      </w:pPr>
      <w:r w:rsidRPr="00853D84">
        <w:rPr>
          <w:lang w:val="en-GB"/>
        </w:rPr>
        <w:t xml:space="preserve">Clearing cases contain personal data, namely data of </w:t>
      </w:r>
    </w:p>
    <w:p w14:paraId="627FF790" w14:textId="5124B0A1" w:rsidR="0092378B" w:rsidRPr="00853D84" w:rsidRDefault="0092378B" w:rsidP="00F82232">
      <w:pPr>
        <w:pStyle w:val="BodyText"/>
        <w:numPr>
          <w:ilvl w:val="0"/>
          <w:numId w:val="42"/>
        </w:numPr>
        <w:rPr>
          <w:lang w:val="en-GB"/>
        </w:rPr>
      </w:pPr>
      <w:r w:rsidRPr="00853D84">
        <w:rPr>
          <w:lang w:val="en-GB"/>
        </w:rPr>
        <w:t>Customers of partners (predominant part)</w:t>
      </w:r>
    </w:p>
    <w:p w14:paraId="624947A5" w14:textId="77777777" w:rsidR="0092378B" w:rsidRPr="00853D84" w:rsidRDefault="0092378B" w:rsidP="00F82232">
      <w:pPr>
        <w:pStyle w:val="BodyText"/>
        <w:numPr>
          <w:ilvl w:val="0"/>
          <w:numId w:val="42"/>
        </w:numPr>
        <w:rPr>
          <w:lang w:val="en-GB"/>
        </w:rPr>
      </w:pPr>
      <w:r w:rsidRPr="00853D84">
        <w:rPr>
          <w:lang w:val="en-GB"/>
        </w:rPr>
        <w:t>employees of partners (if necessary, this part can be limited to organizational and access data)</w:t>
      </w:r>
    </w:p>
    <w:p w14:paraId="304E7A35" w14:textId="5D6CE049" w:rsidR="0092378B" w:rsidRPr="00853D84" w:rsidRDefault="0092378B" w:rsidP="0092378B">
      <w:pPr>
        <w:pStyle w:val="BodyText"/>
        <w:rPr>
          <w:lang w:val="en-GB"/>
        </w:rPr>
      </w:pPr>
      <w:r w:rsidRPr="00853D84">
        <w:rPr>
          <w:lang w:val="en-GB"/>
        </w:rPr>
        <w:t xml:space="preserve">Since a platform is itself a data-holding system for this data (implementation of status model, support of partners without own data storage, ...), </w:t>
      </w:r>
      <w:proofErr w:type="gramStart"/>
      <w:r w:rsidRPr="00853D84">
        <w:rPr>
          <w:lang w:val="en-GB"/>
        </w:rPr>
        <w:t>a number of</w:t>
      </w:r>
      <w:proofErr w:type="gramEnd"/>
      <w:r w:rsidRPr="00853D84">
        <w:rPr>
          <w:lang w:val="en-GB"/>
        </w:rPr>
        <w:t xml:space="preserve"> requirements have to be fulfilled according to </w:t>
      </w:r>
      <w:r w:rsidR="00F82232" w:rsidRPr="00853D84">
        <w:rPr>
          <w:lang w:val="en-GB"/>
        </w:rPr>
        <w:t>GDPR</w:t>
      </w:r>
      <w:r w:rsidRPr="00853D84">
        <w:rPr>
          <w:lang w:val="en-GB"/>
        </w:rPr>
        <w:t>:</w:t>
      </w:r>
    </w:p>
    <w:p w14:paraId="4DB300FF" w14:textId="59FDD5E8" w:rsidR="0092378B" w:rsidRPr="00853D84" w:rsidRDefault="0092378B" w:rsidP="002D411F">
      <w:pPr>
        <w:pStyle w:val="BodyText"/>
        <w:numPr>
          <w:ilvl w:val="0"/>
          <w:numId w:val="43"/>
        </w:numPr>
        <w:rPr>
          <w:lang w:val="en-GB"/>
        </w:rPr>
      </w:pPr>
      <w:r w:rsidRPr="00853D84">
        <w:rPr>
          <w:lang w:val="en-GB"/>
        </w:rPr>
        <w:t xml:space="preserve">occasion-related processing and storage: the collected personal data may only be stored in the context of the occasion (processing of the clearing case) and for this duration (if </w:t>
      </w:r>
      <w:proofErr w:type="gramStart"/>
      <w:r w:rsidRPr="00853D84">
        <w:rPr>
          <w:lang w:val="en-GB"/>
        </w:rPr>
        <w:t>necessary</w:t>
      </w:r>
      <w:proofErr w:type="gramEnd"/>
      <w:r w:rsidRPr="00853D84">
        <w:rPr>
          <w:lang w:val="en-GB"/>
        </w:rPr>
        <w:t xml:space="preserve"> incl. an appropriate grace period for follow-up work / inquiries). Accordingly, a deletion concept for this data is required. This is created and implemented by each platform.</w:t>
      </w:r>
    </w:p>
    <w:p w14:paraId="673A03E3" w14:textId="08E5DCD7" w:rsidR="0092378B" w:rsidRPr="00853D84" w:rsidRDefault="0092378B" w:rsidP="002D411F">
      <w:pPr>
        <w:pStyle w:val="BodyText"/>
        <w:numPr>
          <w:ilvl w:val="0"/>
          <w:numId w:val="43"/>
        </w:numPr>
        <w:rPr>
          <w:lang w:val="en-GB"/>
        </w:rPr>
      </w:pPr>
      <w:r w:rsidRPr="00853D84">
        <w:rPr>
          <w:lang w:val="en-GB"/>
        </w:rPr>
        <w:t>Rights of data subjects: Claims for information, deletion, correction of personal data, etc. MUST be implemented for each platform involved.</w:t>
      </w:r>
    </w:p>
    <w:p w14:paraId="54B36161" w14:textId="6E3461D8" w:rsidR="00404FAC" w:rsidRPr="00853D84" w:rsidRDefault="0092378B" w:rsidP="0092378B">
      <w:pPr>
        <w:pStyle w:val="BodyText"/>
        <w:rPr>
          <w:lang w:val="en-GB"/>
        </w:rPr>
      </w:pPr>
      <w:r w:rsidRPr="00853D84">
        <w:rPr>
          <w:lang w:val="en-GB"/>
        </w:rPr>
        <w:t xml:space="preserve">Retention period: tickets and associated messages should be retained for a maximum of 6 months after a ticket is closed. In compliance with legal requirements, storage is as short as possible and as long as necessary for the contractual purpose. </w:t>
      </w:r>
      <w:r w:rsidR="002D0878" w:rsidRPr="00853D84">
        <w:rPr>
          <w:lang w:val="en-GB"/>
        </w:rPr>
        <w:t>GDPR</w:t>
      </w:r>
      <w:r w:rsidRPr="00853D84">
        <w:rPr>
          <w:lang w:val="en-GB"/>
        </w:rPr>
        <w:t xml:space="preserve">-relevant data </w:t>
      </w:r>
      <w:r w:rsidR="00BA4C5B" w:rsidRPr="00853D84">
        <w:rPr>
          <w:lang w:val="en-GB"/>
        </w:rPr>
        <w:t>MUST be</w:t>
      </w:r>
      <w:r w:rsidRPr="00853D84">
        <w:rPr>
          <w:lang w:val="en-GB"/>
        </w:rPr>
        <w:t xml:space="preserve"> pseudonymized or completely deleted when the clearing case is closed. Billing-relevant data </w:t>
      </w:r>
      <w:r w:rsidR="00BA4C5B" w:rsidRPr="00853D84">
        <w:rPr>
          <w:lang w:val="en-GB"/>
        </w:rPr>
        <w:t xml:space="preserve">MAY </w:t>
      </w:r>
      <w:r w:rsidRPr="00853D84">
        <w:rPr>
          <w:lang w:val="en-GB"/>
        </w:rPr>
        <w:t xml:space="preserve">kept separately until the objection period after billing and does </w:t>
      </w:r>
      <w:r w:rsidR="00BA4C5B" w:rsidRPr="00853D84">
        <w:rPr>
          <w:lang w:val="en-GB"/>
        </w:rPr>
        <w:t>NOT</w:t>
      </w:r>
      <w:r w:rsidRPr="00853D84">
        <w:rPr>
          <w:lang w:val="en-GB"/>
        </w:rPr>
        <w:t xml:space="preserve"> contain any personal data</w:t>
      </w:r>
      <w:r w:rsidR="00404FAC" w:rsidRPr="00853D84">
        <w:rPr>
          <w:lang w:val="en-GB"/>
        </w:rPr>
        <w:t>.</w:t>
      </w:r>
    </w:p>
    <w:p w14:paraId="00ABB510" w14:textId="6FDCE7F9" w:rsidR="00404FAC" w:rsidRPr="00853D84" w:rsidRDefault="006E2D86" w:rsidP="00902EC3">
      <w:pPr>
        <w:pStyle w:val="Heading2"/>
        <w:rPr>
          <w:rFonts w:eastAsia="Times New Roman"/>
          <w:lang w:val="en-GB"/>
        </w:rPr>
      </w:pPr>
      <w:bookmarkStart w:id="9" w:name="_Toc107915842"/>
      <w:r w:rsidRPr="00853D84">
        <w:rPr>
          <w:rFonts w:eastAsia="Times New Roman"/>
          <w:lang w:val="en-GB"/>
        </w:rPr>
        <w:t>Tenant separation</w:t>
      </w:r>
      <w:bookmarkEnd w:id="9"/>
    </w:p>
    <w:p w14:paraId="40702FDB" w14:textId="384A8AC4" w:rsidR="00B0118F" w:rsidRPr="00853D84" w:rsidRDefault="00B0118F" w:rsidP="00B0118F">
      <w:pPr>
        <w:pStyle w:val="BodyText"/>
        <w:rPr>
          <w:rFonts w:eastAsia="Times New Roman"/>
          <w:lang w:val="en-GB"/>
        </w:rPr>
      </w:pPr>
      <w:r w:rsidRPr="00853D84">
        <w:rPr>
          <w:rFonts w:eastAsia="Times New Roman"/>
          <w:lang w:val="en-GB"/>
        </w:rPr>
        <w:t>A platform acts as a service provider for a set of partners (=</w:t>
      </w:r>
      <w:r w:rsidR="00FF1C82" w:rsidRPr="00853D84">
        <w:rPr>
          <w:rFonts w:eastAsia="Times New Roman"/>
          <w:lang w:val="en-GB"/>
        </w:rPr>
        <w:t>tenants</w:t>
      </w:r>
      <w:r w:rsidRPr="00853D84">
        <w:rPr>
          <w:rFonts w:eastAsia="Times New Roman"/>
          <w:lang w:val="en-GB"/>
        </w:rPr>
        <w:t>), and accordingly holds data about clearing cases in which these partners are involved.</w:t>
      </w:r>
    </w:p>
    <w:p w14:paraId="2AE8C2F8" w14:textId="4C913153" w:rsidR="00B0118F" w:rsidRPr="00853D84" w:rsidRDefault="00B0118F" w:rsidP="00B0118F">
      <w:pPr>
        <w:pStyle w:val="BodyText"/>
        <w:rPr>
          <w:rFonts w:eastAsia="Times New Roman"/>
          <w:lang w:val="en-GB"/>
        </w:rPr>
      </w:pPr>
      <w:r w:rsidRPr="00853D84">
        <w:rPr>
          <w:rFonts w:eastAsia="Times New Roman"/>
          <w:lang w:val="en-GB"/>
        </w:rPr>
        <w:t xml:space="preserve">A platform </w:t>
      </w:r>
      <w:r w:rsidR="00FF1C82" w:rsidRPr="00853D84">
        <w:rPr>
          <w:rFonts w:eastAsia="Times New Roman"/>
          <w:lang w:val="en-GB"/>
        </w:rPr>
        <w:t>MUST</w:t>
      </w:r>
      <w:r w:rsidRPr="00853D84">
        <w:rPr>
          <w:rFonts w:eastAsia="Times New Roman"/>
          <w:lang w:val="en-GB"/>
        </w:rPr>
        <w:t xml:space="preserve"> ensure that a partner can only view data of those clearing cases in which the partner is involved.</w:t>
      </w:r>
    </w:p>
    <w:p w14:paraId="3E8C78D7" w14:textId="77777777" w:rsidR="00B0118F" w:rsidRPr="00853D84" w:rsidRDefault="00B0118F" w:rsidP="00B0118F">
      <w:pPr>
        <w:pStyle w:val="BodyText"/>
        <w:rPr>
          <w:rFonts w:eastAsia="Times New Roman"/>
          <w:lang w:val="en-GB"/>
        </w:rPr>
      </w:pPr>
      <w:r w:rsidRPr="00853D84">
        <w:rPr>
          <w:rFonts w:eastAsia="Times New Roman"/>
          <w:lang w:val="en-GB"/>
        </w:rPr>
        <w:t>For this purpose, a platform MUST be able to at any time:</w:t>
      </w:r>
    </w:p>
    <w:p w14:paraId="2E04944B" w14:textId="10609A17" w:rsidR="00B0118F" w:rsidRPr="00853D84" w:rsidRDefault="00B0118F" w:rsidP="00CA01CD">
      <w:pPr>
        <w:pStyle w:val="BodyText"/>
        <w:numPr>
          <w:ilvl w:val="0"/>
          <w:numId w:val="44"/>
        </w:numPr>
        <w:rPr>
          <w:rFonts w:eastAsia="Times New Roman"/>
          <w:lang w:val="en-GB"/>
        </w:rPr>
      </w:pPr>
      <w:r w:rsidRPr="00853D84">
        <w:rPr>
          <w:rFonts w:eastAsia="Times New Roman"/>
          <w:lang w:val="en-GB"/>
        </w:rPr>
        <w:t>uniquely assign incoming messages to a client</w:t>
      </w:r>
    </w:p>
    <w:p w14:paraId="7F546598" w14:textId="6B3DDF17" w:rsidR="00404FAC" w:rsidRPr="00853D84" w:rsidRDefault="00B0118F" w:rsidP="00CA01CD">
      <w:pPr>
        <w:pStyle w:val="BodyText"/>
        <w:numPr>
          <w:ilvl w:val="0"/>
          <w:numId w:val="44"/>
        </w:numPr>
        <w:rPr>
          <w:rFonts w:eastAsia="Times New Roman"/>
          <w:lang w:val="en-GB"/>
        </w:rPr>
      </w:pPr>
      <w:r w:rsidRPr="00853D84">
        <w:rPr>
          <w:rFonts w:eastAsia="Times New Roman"/>
          <w:lang w:val="en-GB"/>
        </w:rPr>
        <w:t>be able to assign GUI actions to a client</w:t>
      </w:r>
    </w:p>
    <w:p w14:paraId="63CA7CC4" w14:textId="5B29EBC3" w:rsidR="00404FAC" w:rsidRPr="00853D84" w:rsidRDefault="00D80B1B" w:rsidP="00404FAC">
      <w:pPr>
        <w:pStyle w:val="Heading1"/>
        <w:rPr>
          <w:lang w:val="en-GB"/>
        </w:rPr>
      </w:pPr>
      <w:bookmarkStart w:id="10" w:name="_Toc107915843"/>
      <w:r w:rsidRPr="00853D84">
        <w:rPr>
          <w:lang w:val="en-GB"/>
        </w:rPr>
        <w:t>Availability</w:t>
      </w:r>
      <w:bookmarkEnd w:id="10"/>
    </w:p>
    <w:p w14:paraId="5873B0D9" w14:textId="77777777" w:rsidR="00D80B1B" w:rsidRPr="00853D84" w:rsidRDefault="00D80B1B" w:rsidP="00D80B1B">
      <w:pPr>
        <w:pStyle w:val="BodyText"/>
        <w:rPr>
          <w:lang w:val="en-GB"/>
        </w:rPr>
      </w:pPr>
      <w:proofErr w:type="gramStart"/>
      <w:r w:rsidRPr="00853D84">
        <w:rPr>
          <w:lang w:val="en-GB"/>
        </w:rPr>
        <w:t>In order to</w:t>
      </w:r>
      <w:proofErr w:type="gramEnd"/>
      <w:r w:rsidRPr="00853D84">
        <w:rPr>
          <w:lang w:val="en-GB"/>
        </w:rPr>
        <w:t xml:space="preserve"> achieve high availability of the overall system, minimum standards are agreed. These are based on the cornerstones proven at WBCI and include the following aspects:</w:t>
      </w:r>
    </w:p>
    <w:p w14:paraId="695458C9" w14:textId="00A16CAF" w:rsidR="00D80B1B" w:rsidRPr="00853D84" w:rsidRDefault="00D80B1B" w:rsidP="007735E9">
      <w:pPr>
        <w:pStyle w:val="BodyText"/>
        <w:numPr>
          <w:ilvl w:val="0"/>
          <w:numId w:val="45"/>
        </w:numPr>
        <w:rPr>
          <w:lang w:val="en-GB"/>
        </w:rPr>
      </w:pPr>
      <w:r w:rsidRPr="00853D84">
        <w:rPr>
          <w:lang w:val="en-GB"/>
        </w:rPr>
        <w:t>The platforms SHOULD be operated 7 days / week x 24 hours / day and be accessible from the Internet.</w:t>
      </w:r>
    </w:p>
    <w:p w14:paraId="63DEFCB2" w14:textId="7DEC1420" w:rsidR="00D80B1B" w:rsidRPr="00853D84" w:rsidRDefault="00D80B1B" w:rsidP="007735E9">
      <w:pPr>
        <w:pStyle w:val="BodyText"/>
        <w:numPr>
          <w:ilvl w:val="0"/>
          <w:numId w:val="45"/>
        </w:numPr>
        <w:rPr>
          <w:lang w:val="en-GB"/>
        </w:rPr>
      </w:pPr>
      <w:r w:rsidRPr="00853D84">
        <w:rPr>
          <w:lang w:val="en-GB"/>
        </w:rPr>
        <w:t>Following WBCI, an accessibility for fault reports*) is expected Monday to Friday from 09:00 to 17:00, but not on federal and regional holidays, leading to a response within &lt;= 8h for severe faults (emergency/Prio1).</w:t>
      </w:r>
    </w:p>
    <w:p w14:paraId="7C912528" w14:textId="6693E68A" w:rsidR="00D80B1B" w:rsidRPr="00853D84" w:rsidRDefault="00D80B1B" w:rsidP="007735E9">
      <w:pPr>
        <w:pStyle w:val="BodyText"/>
        <w:numPr>
          <w:ilvl w:val="0"/>
          <w:numId w:val="45"/>
        </w:numPr>
        <w:rPr>
          <w:lang w:val="en-GB"/>
        </w:rPr>
      </w:pPr>
      <w:r w:rsidRPr="0B725757">
        <w:rPr>
          <w:lang w:val="en-GB"/>
        </w:rPr>
        <w:t>A coordinated standard maintenance window (</w:t>
      </w:r>
      <w:proofErr w:type="gramStart"/>
      <w:r w:rsidRPr="0B725757">
        <w:rPr>
          <w:lang w:val="en-GB"/>
        </w:rPr>
        <w:t>e.g.</w:t>
      </w:r>
      <w:proofErr w:type="gramEnd"/>
      <w:r w:rsidRPr="0B725757">
        <w:rPr>
          <w:lang w:val="en-GB"/>
        </w:rPr>
        <w:t xml:space="preserve"> Wednesday 12:00 -13:00) is provided, but this is only used when actually needed. In general, information about necessary downtimes or maintenance work with relevant risks should be provided at least 3 </w:t>
      </w:r>
      <w:r w:rsidR="00CE37A1" w:rsidRPr="0B725757">
        <w:rPr>
          <w:lang w:val="en-GB"/>
        </w:rPr>
        <w:t>workdays</w:t>
      </w:r>
      <w:r w:rsidRPr="0B725757">
        <w:rPr>
          <w:lang w:val="en-GB"/>
        </w:rPr>
        <w:t xml:space="preserve"> in advance </w:t>
      </w:r>
      <w:proofErr w:type="gramStart"/>
      <w:r w:rsidRPr="0B725757">
        <w:rPr>
          <w:lang w:val="en-GB"/>
        </w:rPr>
        <w:t>in order to</w:t>
      </w:r>
      <w:proofErr w:type="gramEnd"/>
      <w:r w:rsidRPr="0B725757">
        <w:rPr>
          <w:lang w:val="en-GB"/>
        </w:rPr>
        <w:t xml:space="preserve"> avoid unnecessary inquiries in case of non-availability (idea: "info board" to be maintained at a central location by all service providers themselves and visible to all participants, ideally </w:t>
      </w:r>
      <w:proofErr w:type="spellStart"/>
      <w:r w:rsidRPr="0B725757">
        <w:rPr>
          <w:lang w:val="en-GB"/>
        </w:rPr>
        <w:t>subscribable</w:t>
      </w:r>
      <w:proofErr w:type="spellEnd"/>
      <w:r w:rsidRPr="0B725757">
        <w:rPr>
          <w:lang w:val="en-GB"/>
        </w:rPr>
        <w:t>).</w:t>
      </w:r>
    </w:p>
    <w:p w14:paraId="674B7055" w14:textId="438F29B8" w:rsidR="00D80B1B" w:rsidRPr="00853D84" w:rsidRDefault="00D80B1B" w:rsidP="007735E9">
      <w:pPr>
        <w:pStyle w:val="BodyText"/>
        <w:numPr>
          <w:ilvl w:val="0"/>
          <w:numId w:val="45"/>
        </w:numPr>
        <w:rPr>
          <w:lang w:val="en-GB"/>
        </w:rPr>
      </w:pPr>
      <w:r w:rsidRPr="00853D84">
        <w:rPr>
          <w:lang w:val="en-GB"/>
        </w:rPr>
        <w:t>In trouble-free operation, the platforms SHOULD provide a suitable technical response within 10 seconds for at least 90% of all messages / requests via the defined interfaces (APIs according to TMF).</w:t>
      </w:r>
    </w:p>
    <w:p w14:paraId="54215002" w14:textId="4D1751E9" w:rsidR="00D80B1B" w:rsidRPr="00853D84" w:rsidRDefault="00D80B1B" w:rsidP="007735E9">
      <w:pPr>
        <w:pStyle w:val="BodyText"/>
        <w:numPr>
          <w:ilvl w:val="0"/>
          <w:numId w:val="45"/>
        </w:numPr>
        <w:rPr>
          <w:lang w:val="en-GB"/>
        </w:rPr>
      </w:pPr>
      <w:r w:rsidRPr="00853D84">
        <w:rPr>
          <w:lang w:val="en-GB"/>
        </w:rPr>
        <w:t>Each platform ensures that "its" information remains available, even if other platforms or connected partner systems are temporarily unavailable.</w:t>
      </w:r>
    </w:p>
    <w:p w14:paraId="5FE7039C" w14:textId="1D07427B" w:rsidR="00404FAC" w:rsidRPr="00853D84" w:rsidRDefault="00D80B1B" w:rsidP="00D80B1B">
      <w:pPr>
        <w:pStyle w:val="BodyText"/>
        <w:rPr>
          <w:lang w:val="en-GB"/>
        </w:rPr>
      </w:pPr>
      <w:r w:rsidRPr="00853D84">
        <w:rPr>
          <w:lang w:val="en-GB"/>
        </w:rPr>
        <w:t>*) Footnote for clarity: disruptions here are problems with the technical usability of the clearing platform(s). It is not about the disruptions that make clearing necessary.</w:t>
      </w:r>
    </w:p>
    <w:p w14:paraId="71D679B8" w14:textId="02541B11" w:rsidR="00404FAC" w:rsidRPr="00853D84" w:rsidRDefault="00014858" w:rsidP="00404FAC">
      <w:pPr>
        <w:pStyle w:val="Heading1"/>
        <w:rPr>
          <w:lang w:val="en-GB"/>
        </w:rPr>
      </w:pPr>
      <w:bookmarkStart w:id="11" w:name="_Toc107915844"/>
      <w:r w:rsidRPr="00853D84">
        <w:rPr>
          <w:lang w:val="en-GB"/>
        </w:rPr>
        <w:t>Quantity structure</w:t>
      </w:r>
      <w:bookmarkEnd w:id="11"/>
    </w:p>
    <w:p w14:paraId="3EECC95C" w14:textId="3E55B552" w:rsidR="00CF63D1" w:rsidRPr="00853D84" w:rsidRDefault="00CF63D1" w:rsidP="00853D84">
      <w:pPr>
        <w:pStyle w:val="Zwischenberschrift"/>
        <w:rPr>
          <w:lang w:val="en-GB"/>
        </w:rPr>
      </w:pPr>
      <w:r w:rsidRPr="00853D84">
        <w:rPr>
          <w:lang w:val="en-GB"/>
        </w:rPr>
        <w:t>Throughput</w:t>
      </w:r>
    </w:p>
    <w:p w14:paraId="32116993" w14:textId="675AEB0C" w:rsidR="00CF63D1" w:rsidRPr="00853D84" w:rsidRDefault="00CF63D1" w:rsidP="00CF63D1">
      <w:pPr>
        <w:pStyle w:val="BodyText"/>
        <w:rPr>
          <w:lang w:val="en-GB"/>
        </w:rPr>
      </w:pPr>
      <w:r w:rsidRPr="00853D84">
        <w:rPr>
          <w:lang w:val="en-GB"/>
        </w:rPr>
        <w:t xml:space="preserve">An initial survey has determined a demand / volume of approx. 15,000 tickets per week. </w:t>
      </w:r>
      <w:proofErr w:type="gramStart"/>
      <w:r w:rsidRPr="00853D84">
        <w:rPr>
          <w:lang w:val="en-GB"/>
        </w:rPr>
        <w:t>This results</w:t>
      </w:r>
      <w:proofErr w:type="gramEnd"/>
      <w:r w:rsidRPr="00853D84">
        <w:rPr>
          <w:lang w:val="en-GB"/>
        </w:rPr>
        <w:t xml:space="preserve"> - with an approximate equal distribution over 5 working days per week and 8 hours per day - in approx. 6 </w:t>
      </w:r>
      <w:r w:rsidR="00331EE0">
        <w:rPr>
          <w:lang w:val="en-GB"/>
        </w:rPr>
        <w:t>tickets</w:t>
      </w:r>
      <w:r w:rsidRPr="00853D84">
        <w:rPr>
          <w:lang w:val="en-GB"/>
        </w:rPr>
        <w:t xml:space="preserve"> per minute.</w:t>
      </w:r>
    </w:p>
    <w:p w14:paraId="14878392" w14:textId="7919E66C" w:rsidR="00CF63D1" w:rsidRPr="00853D84" w:rsidRDefault="00CF63D1" w:rsidP="00853D84">
      <w:pPr>
        <w:pStyle w:val="Zwischenberschrift"/>
        <w:rPr>
          <w:lang w:val="en-GB"/>
        </w:rPr>
      </w:pPr>
      <w:r w:rsidRPr="00853D84">
        <w:rPr>
          <w:lang w:val="en-GB"/>
        </w:rPr>
        <w:t>Data volume</w:t>
      </w:r>
    </w:p>
    <w:p w14:paraId="610BFC20" w14:textId="4198A0AF" w:rsidR="00CF63D1" w:rsidRPr="00853D84" w:rsidRDefault="00CF63D1" w:rsidP="00CF63D1">
      <w:pPr>
        <w:pStyle w:val="BodyText"/>
        <w:rPr>
          <w:lang w:val="en-GB"/>
        </w:rPr>
      </w:pPr>
      <w:r w:rsidRPr="00853D84">
        <w:rPr>
          <w:lang w:val="en-GB"/>
        </w:rPr>
        <w:t xml:space="preserve">Assuming the retention times defined in the </w:t>
      </w:r>
      <w:r w:rsidR="00331EE0">
        <w:rPr>
          <w:lang w:val="en-GB"/>
        </w:rPr>
        <w:t>GDPR</w:t>
      </w:r>
      <w:r w:rsidRPr="00853D84">
        <w:rPr>
          <w:lang w:val="en-GB"/>
        </w:rPr>
        <w:t xml:space="preserve"> compliance section and &lt;=5 messages/ticket, this means that approx. 400,000 tickets and approx. 1,000,000 messages must be stored simultaneously.</w:t>
      </w:r>
    </w:p>
    <w:p w14:paraId="044AA0AE" w14:textId="1232B882" w:rsidR="001D2973" w:rsidRPr="00853D84" w:rsidRDefault="00CF63D1" w:rsidP="00CF63D1">
      <w:pPr>
        <w:pStyle w:val="BodyText"/>
        <w:rPr>
          <w:lang w:val="en-GB"/>
        </w:rPr>
      </w:pPr>
      <w:r w:rsidRPr="00853D84">
        <w:rPr>
          <w:lang w:val="en-GB"/>
        </w:rPr>
        <w:t>The data are preliminary data in the total market. In case of a distribution on several platforms, the requirements decrease proportionally. Due to long-running tickets (e.g.: continued supply), the requirement for the storage period and thus also the required storage volume can increase in part.</w:t>
      </w:r>
    </w:p>
    <w:sectPr w:rsidR="001D2973" w:rsidRPr="00853D84">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6A515" w14:textId="77777777" w:rsidR="0050224F" w:rsidRDefault="0050224F" w:rsidP="000D5630">
      <w:pPr>
        <w:spacing w:after="0"/>
      </w:pPr>
      <w:r>
        <w:separator/>
      </w:r>
    </w:p>
  </w:endnote>
  <w:endnote w:type="continuationSeparator" w:id="0">
    <w:p w14:paraId="6B02E8A1" w14:textId="77777777" w:rsidR="0050224F" w:rsidRDefault="0050224F" w:rsidP="000D5630">
      <w:pPr>
        <w:spacing w:after="0"/>
      </w:pPr>
      <w:r>
        <w:continuationSeparator/>
      </w:r>
    </w:p>
  </w:endnote>
  <w:endnote w:type="continuationNotice" w:id="1">
    <w:p w14:paraId="38BE3078" w14:textId="77777777" w:rsidR="0050224F" w:rsidRDefault="005022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9756408"/>
      <w:docPartObj>
        <w:docPartGallery w:val="Page Numbers (Bottom of Page)"/>
        <w:docPartUnique/>
      </w:docPartObj>
    </w:sdtPr>
    <w:sdtContent>
      <w:p w14:paraId="106C568F" w14:textId="116EAA01" w:rsidR="000D5630" w:rsidRPr="00BC442D" w:rsidRDefault="000D5630">
        <w:pPr>
          <w:pStyle w:val="Footer"/>
          <w:rPr>
            <w:lang w:val="en-GB"/>
          </w:rPr>
        </w:pPr>
        <w:r w:rsidRPr="00BC442D">
          <w:rPr>
            <w:lang w:val="en-GB"/>
          </w:rPr>
          <w:t>Clearing Platform Specification</w:t>
        </w:r>
        <w:r w:rsidR="00BC442D" w:rsidRPr="00BC442D">
          <w:rPr>
            <w:lang w:val="en-GB"/>
          </w:rPr>
          <w:t>: N</w:t>
        </w:r>
        <w:r w:rsidR="00BC442D">
          <w:rPr>
            <w:lang w:val="en-GB"/>
          </w:rPr>
          <w:t>on</w:t>
        </w:r>
        <w:r w:rsidR="00D66D6D">
          <w:rPr>
            <w:lang w:val="en-GB"/>
          </w:rPr>
          <w:t>-</w:t>
        </w:r>
        <w:r w:rsidR="00BC442D">
          <w:rPr>
            <w:lang w:val="en-GB"/>
          </w:rPr>
          <w:t xml:space="preserve">functional </w:t>
        </w:r>
        <w:r w:rsidR="00D66D6D">
          <w:rPr>
            <w:lang w:val="en-GB"/>
          </w:rPr>
          <w:t>R</w:t>
        </w:r>
        <w:r w:rsidR="00BC442D">
          <w:rPr>
            <w:lang w:val="en-GB"/>
          </w:rPr>
          <w:t>equirements</w:t>
        </w:r>
        <w:r w:rsidR="00BC442D" w:rsidRPr="00BC442D">
          <w:rPr>
            <w:lang w:val="en-GB"/>
          </w:rPr>
          <w:br/>
        </w:r>
        <w:r w:rsidRPr="00BC442D">
          <w:rPr>
            <w:lang w:val="en-GB"/>
          </w:rPr>
          <w:t>Version 1.0</w:t>
        </w:r>
        <w:r w:rsidRPr="00BC442D">
          <w:rPr>
            <w:lang w:val="en-GB"/>
          </w:rPr>
          <w:tab/>
        </w:r>
        <w:r>
          <w:fldChar w:fldCharType="begin"/>
        </w:r>
        <w:r>
          <w:instrText xml:space="preserve"> SAVEDATE  \@ "dd.MM.yyyy"  \* MERGEFORMAT </w:instrText>
        </w:r>
        <w:r>
          <w:fldChar w:fldCharType="separate"/>
        </w:r>
        <w:r w:rsidR="00E06504">
          <w:rPr>
            <w:noProof/>
          </w:rPr>
          <w:t>25</w:t>
        </w:r>
        <w:r w:rsidR="009819C6">
          <w:rPr>
            <w:noProof/>
          </w:rPr>
          <w:t>.09.202</w:t>
        </w:r>
        <w:r>
          <w:fldChar w:fldCharType="end"/>
        </w:r>
        <w:r w:rsidR="002303F1" w:rsidRPr="002303F1">
          <w:rPr>
            <w:lang w:val="en-US"/>
          </w:rPr>
          <w:t>3</w:t>
        </w:r>
        <w:r w:rsidRPr="00BC442D">
          <w:rPr>
            <w:lang w:val="en-GB"/>
          </w:rPr>
          <w:tab/>
        </w:r>
        <w:r w:rsidR="00404FAC" w:rsidRPr="00BC442D">
          <w:rPr>
            <w:lang w:val="en-GB"/>
          </w:rPr>
          <w:t>Page</w:t>
        </w:r>
        <w:r w:rsidRPr="00BC442D">
          <w:rPr>
            <w:lang w:val="en-GB"/>
          </w:rPr>
          <w:t xml:space="preserve"> </w:t>
        </w:r>
        <w:r>
          <w:fldChar w:fldCharType="begin"/>
        </w:r>
        <w:r w:rsidRPr="00BC442D">
          <w:rPr>
            <w:lang w:val="en-GB"/>
          </w:rPr>
          <w:instrText>PAGE   \* MERGEFORMAT</w:instrText>
        </w:r>
        <w:r>
          <w:fldChar w:fldCharType="separate"/>
        </w:r>
        <w:r w:rsidRPr="00BC442D">
          <w:rPr>
            <w:lang w:val="en-GB"/>
          </w:rPr>
          <w:t>2</w:t>
        </w:r>
        <w:r>
          <w:fldChar w:fldCharType="end"/>
        </w:r>
        <w:r w:rsidRPr="00BC442D">
          <w:rPr>
            <w:lang w:val="en-GB"/>
          </w:rPr>
          <w:t xml:space="preserve"> / </w:t>
        </w:r>
        <w:r w:rsidR="00527A7C">
          <w:fldChar w:fldCharType="begin"/>
        </w:r>
        <w:r w:rsidR="00527A7C" w:rsidRPr="00BC442D">
          <w:rPr>
            <w:lang w:val="en-GB"/>
          </w:rPr>
          <w:instrText xml:space="preserve"> NUMPAGES  \* Arabic  \* MERGEFORMAT </w:instrText>
        </w:r>
        <w:r w:rsidR="00527A7C">
          <w:fldChar w:fldCharType="separate"/>
        </w:r>
        <w:r w:rsidRPr="00BC442D">
          <w:rPr>
            <w:noProof/>
            <w:lang w:val="en-GB"/>
          </w:rPr>
          <w:t>5</w:t>
        </w:r>
        <w:r w:rsidR="00527A7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1BF2F" w14:textId="77777777" w:rsidR="0050224F" w:rsidRDefault="0050224F" w:rsidP="000D5630">
      <w:pPr>
        <w:spacing w:after="0"/>
      </w:pPr>
      <w:r>
        <w:separator/>
      </w:r>
    </w:p>
  </w:footnote>
  <w:footnote w:type="continuationSeparator" w:id="0">
    <w:p w14:paraId="688D1EDD" w14:textId="77777777" w:rsidR="0050224F" w:rsidRDefault="0050224F" w:rsidP="000D5630">
      <w:pPr>
        <w:spacing w:after="0"/>
      </w:pPr>
      <w:r>
        <w:continuationSeparator/>
      </w:r>
    </w:p>
  </w:footnote>
  <w:footnote w:type="continuationNotice" w:id="1">
    <w:p w14:paraId="7938F8BF" w14:textId="77777777" w:rsidR="0050224F" w:rsidRDefault="0050224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11698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346C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2648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144F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87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CCB1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BA0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6691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D2FD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DC6A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016DF"/>
    <w:multiLevelType w:val="hybridMultilevel"/>
    <w:tmpl w:val="5F6E7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37591E"/>
    <w:multiLevelType w:val="hybridMultilevel"/>
    <w:tmpl w:val="34CCC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EDF2438"/>
    <w:multiLevelType w:val="hybridMultilevel"/>
    <w:tmpl w:val="4DAE8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4B690D"/>
    <w:multiLevelType w:val="hybridMultilevel"/>
    <w:tmpl w:val="BED22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F944408"/>
    <w:multiLevelType w:val="hybridMultilevel"/>
    <w:tmpl w:val="676AE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71A7812"/>
    <w:multiLevelType w:val="multilevel"/>
    <w:tmpl w:val="4324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34469E"/>
    <w:multiLevelType w:val="hybridMultilevel"/>
    <w:tmpl w:val="9F503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D0739DB"/>
    <w:multiLevelType w:val="multilevel"/>
    <w:tmpl w:val="840C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8A576D"/>
    <w:multiLevelType w:val="multilevel"/>
    <w:tmpl w:val="75B8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81202D"/>
    <w:multiLevelType w:val="hybridMultilevel"/>
    <w:tmpl w:val="34446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C0085B"/>
    <w:multiLevelType w:val="hybridMultilevel"/>
    <w:tmpl w:val="83B09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FF7AAD"/>
    <w:multiLevelType w:val="hybridMultilevel"/>
    <w:tmpl w:val="3850A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63A370A"/>
    <w:multiLevelType w:val="hybridMultilevel"/>
    <w:tmpl w:val="87FA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72C6FA4"/>
    <w:multiLevelType w:val="hybridMultilevel"/>
    <w:tmpl w:val="54467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7D001A4"/>
    <w:multiLevelType w:val="multilevel"/>
    <w:tmpl w:val="4A70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A1327F"/>
    <w:multiLevelType w:val="multilevel"/>
    <w:tmpl w:val="DBE2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927BF7"/>
    <w:multiLevelType w:val="hybridMultilevel"/>
    <w:tmpl w:val="2B863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126392B"/>
    <w:multiLevelType w:val="multilevel"/>
    <w:tmpl w:val="D538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7C093E"/>
    <w:multiLevelType w:val="multilevel"/>
    <w:tmpl w:val="7450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581F56"/>
    <w:multiLevelType w:val="multilevel"/>
    <w:tmpl w:val="95A8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A31EF7"/>
    <w:multiLevelType w:val="hybridMultilevel"/>
    <w:tmpl w:val="3554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824FEE"/>
    <w:multiLevelType w:val="hybridMultilevel"/>
    <w:tmpl w:val="27FEC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5607DD"/>
    <w:multiLevelType w:val="hybridMultilevel"/>
    <w:tmpl w:val="D8BA1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39564F"/>
    <w:multiLevelType w:val="hybridMultilevel"/>
    <w:tmpl w:val="BAB08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1260C1"/>
    <w:multiLevelType w:val="multilevel"/>
    <w:tmpl w:val="367C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2C4FF2"/>
    <w:multiLevelType w:val="multilevel"/>
    <w:tmpl w:val="8AB24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1F6DD9"/>
    <w:multiLevelType w:val="multilevel"/>
    <w:tmpl w:val="CC6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231CA4"/>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55AD05BF"/>
    <w:multiLevelType w:val="multilevel"/>
    <w:tmpl w:val="6074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9D2570"/>
    <w:multiLevelType w:val="multilevel"/>
    <w:tmpl w:val="0876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3C3E98"/>
    <w:multiLevelType w:val="hybridMultilevel"/>
    <w:tmpl w:val="1E447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D209B0"/>
    <w:multiLevelType w:val="hybridMultilevel"/>
    <w:tmpl w:val="BEDA2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FC080E"/>
    <w:multiLevelType w:val="multilevel"/>
    <w:tmpl w:val="82D2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AA2662"/>
    <w:multiLevelType w:val="hybridMultilevel"/>
    <w:tmpl w:val="54DAB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A36CFD"/>
    <w:multiLevelType w:val="hybridMultilevel"/>
    <w:tmpl w:val="F04C2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6597728">
    <w:abstractNumId w:val="37"/>
  </w:num>
  <w:num w:numId="2" w16cid:durableId="1306399007">
    <w:abstractNumId w:val="9"/>
  </w:num>
  <w:num w:numId="3" w16cid:durableId="711685102">
    <w:abstractNumId w:val="7"/>
  </w:num>
  <w:num w:numId="4" w16cid:durableId="1605112035">
    <w:abstractNumId w:val="6"/>
  </w:num>
  <w:num w:numId="5" w16cid:durableId="221068164">
    <w:abstractNumId w:val="5"/>
  </w:num>
  <w:num w:numId="6" w16cid:durableId="474420103">
    <w:abstractNumId w:val="4"/>
  </w:num>
  <w:num w:numId="7" w16cid:durableId="1052459441">
    <w:abstractNumId w:val="8"/>
  </w:num>
  <w:num w:numId="8" w16cid:durableId="96290246">
    <w:abstractNumId w:val="3"/>
  </w:num>
  <w:num w:numId="9" w16cid:durableId="203832379">
    <w:abstractNumId w:val="2"/>
  </w:num>
  <w:num w:numId="10" w16cid:durableId="1728143219">
    <w:abstractNumId w:val="1"/>
  </w:num>
  <w:num w:numId="11" w16cid:durableId="1127072">
    <w:abstractNumId w:val="0"/>
  </w:num>
  <w:num w:numId="12" w16cid:durableId="1283416866">
    <w:abstractNumId w:val="17"/>
  </w:num>
  <w:num w:numId="13" w16cid:durableId="702485691">
    <w:abstractNumId w:val="42"/>
  </w:num>
  <w:num w:numId="14" w16cid:durableId="481897078">
    <w:abstractNumId w:val="34"/>
  </w:num>
  <w:num w:numId="15" w16cid:durableId="306207261">
    <w:abstractNumId w:val="36"/>
  </w:num>
  <w:num w:numId="16" w16cid:durableId="655493931">
    <w:abstractNumId w:val="29"/>
  </w:num>
  <w:num w:numId="17" w16cid:durableId="2077320932">
    <w:abstractNumId w:val="24"/>
  </w:num>
  <w:num w:numId="18" w16cid:durableId="2085906358">
    <w:abstractNumId w:val="38"/>
  </w:num>
  <w:num w:numId="19" w16cid:durableId="1085104633">
    <w:abstractNumId w:val="35"/>
  </w:num>
  <w:num w:numId="20" w16cid:durableId="1937473149">
    <w:abstractNumId w:val="39"/>
  </w:num>
  <w:num w:numId="21" w16cid:durableId="1470898186">
    <w:abstractNumId w:val="28"/>
  </w:num>
  <w:num w:numId="22" w16cid:durableId="230190020">
    <w:abstractNumId w:val="18"/>
  </w:num>
  <w:num w:numId="23" w16cid:durableId="873613067">
    <w:abstractNumId w:val="25"/>
  </w:num>
  <w:num w:numId="24" w16cid:durableId="199629774">
    <w:abstractNumId w:val="15"/>
  </w:num>
  <w:num w:numId="25" w16cid:durableId="1106803150">
    <w:abstractNumId w:val="27"/>
  </w:num>
  <w:num w:numId="26" w16cid:durableId="29688564">
    <w:abstractNumId w:val="13"/>
  </w:num>
  <w:num w:numId="27" w16cid:durableId="1980762935">
    <w:abstractNumId w:val="20"/>
  </w:num>
  <w:num w:numId="28" w16cid:durableId="1695230103">
    <w:abstractNumId w:val="26"/>
  </w:num>
  <w:num w:numId="29" w16cid:durableId="1879080371">
    <w:abstractNumId w:val="40"/>
  </w:num>
  <w:num w:numId="30" w16cid:durableId="1656181503">
    <w:abstractNumId w:val="16"/>
  </w:num>
  <w:num w:numId="31" w16cid:durableId="1149516394">
    <w:abstractNumId w:val="11"/>
  </w:num>
  <w:num w:numId="32" w16cid:durableId="466625845">
    <w:abstractNumId w:val="10"/>
  </w:num>
  <w:num w:numId="33" w16cid:durableId="1283030062">
    <w:abstractNumId w:val="33"/>
  </w:num>
  <w:num w:numId="34" w16cid:durableId="775296645">
    <w:abstractNumId w:val="44"/>
  </w:num>
  <w:num w:numId="35" w16cid:durableId="517819811">
    <w:abstractNumId w:val="32"/>
  </w:num>
  <w:num w:numId="36" w16cid:durableId="1860580278">
    <w:abstractNumId w:val="31"/>
  </w:num>
  <w:num w:numId="37" w16cid:durableId="2067676367">
    <w:abstractNumId w:val="21"/>
  </w:num>
  <w:num w:numId="38" w16cid:durableId="1646280237">
    <w:abstractNumId w:val="43"/>
  </w:num>
  <w:num w:numId="39" w16cid:durableId="1475487170">
    <w:abstractNumId w:val="41"/>
  </w:num>
  <w:num w:numId="40" w16cid:durableId="851336938">
    <w:abstractNumId w:val="23"/>
  </w:num>
  <w:num w:numId="41" w16cid:durableId="2117674788">
    <w:abstractNumId w:val="12"/>
  </w:num>
  <w:num w:numId="42" w16cid:durableId="695733663">
    <w:abstractNumId w:val="22"/>
  </w:num>
  <w:num w:numId="43" w16cid:durableId="571504789">
    <w:abstractNumId w:val="14"/>
  </w:num>
  <w:num w:numId="44" w16cid:durableId="1862088562">
    <w:abstractNumId w:val="30"/>
  </w:num>
  <w:num w:numId="45" w16cid:durableId="15147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AC"/>
    <w:rsid w:val="0001177B"/>
    <w:rsid w:val="00014858"/>
    <w:rsid w:val="00036B92"/>
    <w:rsid w:val="00051619"/>
    <w:rsid w:val="00062691"/>
    <w:rsid w:val="000758F4"/>
    <w:rsid w:val="00081BD6"/>
    <w:rsid w:val="000B1FC3"/>
    <w:rsid w:val="000D5630"/>
    <w:rsid w:val="000F155A"/>
    <w:rsid w:val="00125264"/>
    <w:rsid w:val="00130354"/>
    <w:rsid w:val="00135CA5"/>
    <w:rsid w:val="0014524E"/>
    <w:rsid w:val="001613EC"/>
    <w:rsid w:val="00191620"/>
    <w:rsid w:val="001A00D2"/>
    <w:rsid w:val="001B0052"/>
    <w:rsid w:val="001D2973"/>
    <w:rsid w:val="001F5075"/>
    <w:rsid w:val="0020479A"/>
    <w:rsid w:val="00207C04"/>
    <w:rsid w:val="00215C5C"/>
    <w:rsid w:val="00223734"/>
    <w:rsid w:val="00226013"/>
    <w:rsid w:val="002278A0"/>
    <w:rsid w:val="00227FA1"/>
    <w:rsid w:val="002303F1"/>
    <w:rsid w:val="00234F37"/>
    <w:rsid w:val="00253B31"/>
    <w:rsid w:val="00257260"/>
    <w:rsid w:val="00264408"/>
    <w:rsid w:val="00286D34"/>
    <w:rsid w:val="002A55B0"/>
    <w:rsid w:val="002A6495"/>
    <w:rsid w:val="002A65F8"/>
    <w:rsid w:val="002D0878"/>
    <w:rsid w:val="002D411F"/>
    <w:rsid w:val="002E2FD8"/>
    <w:rsid w:val="00303099"/>
    <w:rsid w:val="00314786"/>
    <w:rsid w:val="00331EE0"/>
    <w:rsid w:val="003322D3"/>
    <w:rsid w:val="00342F4B"/>
    <w:rsid w:val="003665AD"/>
    <w:rsid w:val="003B3FFA"/>
    <w:rsid w:val="00404FAC"/>
    <w:rsid w:val="00407FA2"/>
    <w:rsid w:val="004155E4"/>
    <w:rsid w:val="00430EAD"/>
    <w:rsid w:val="004771BC"/>
    <w:rsid w:val="00486699"/>
    <w:rsid w:val="004D349B"/>
    <w:rsid w:val="004F2B49"/>
    <w:rsid w:val="0050224F"/>
    <w:rsid w:val="00503188"/>
    <w:rsid w:val="00527A29"/>
    <w:rsid w:val="00527A7C"/>
    <w:rsid w:val="005735BB"/>
    <w:rsid w:val="005C6E7B"/>
    <w:rsid w:val="005D3165"/>
    <w:rsid w:val="005F0A35"/>
    <w:rsid w:val="005F0E42"/>
    <w:rsid w:val="005F1B40"/>
    <w:rsid w:val="005F2440"/>
    <w:rsid w:val="005F49D9"/>
    <w:rsid w:val="00610CA0"/>
    <w:rsid w:val="006132DC"/>
    <w:rsid w:val="006170EC"/>
    <w:rsid w:val="006224C3"/>
    <w:rsid w:val="006A6ABD"/>
    <w:rsid w:val="006B176F"/>
    <w:rsid w:val="006C6AC8"/>
    <w:rsid w:val="006E2D86"/>
    <w:rsid w:val="00763201"/>
    <w:rsid w:val="007729D2"/>
    <w:rsid w:val="007735E9"/>
    <w:rsid w:val="00787616"/>
    <w:rsid w:val="00821A0E"/>
    <w:rsid w:val="00830229"/>
    <w:rsid w:val="00837360"/>
    <w:rsid w:val="0084749E"/>
    <w:rsid w:val="00853D84"/>
    <w:rsid w:val="0087646F"/>
    <w:rsid w:val="00882824"/>
    <w:rsid w:val="008A3D98"/>
    <w:rsid w:val="008A7251"/>
    <w:rsid w:val="008B126C"/>
    <w:rsid w:val="008D4D1A"/>
    <w:rsid w:val="00902EC3"/>
    <w:rsid w:val="0092378B"/>
    <w:rsid w:val="00930797"/>
    <w:rsid w:val="00956390"/>
    <w:rsid w:val="00972842"/>
    <w:rsid w:val="009819C6"/>
    <w:rsid w:val="009A290D"/>
    <w:rsid w:val="009D7BE0"/>
    <w:rsid w:val="009D7F27"/>
    <w:rsid w:val="00A438A4"/>
    <w:rsid w:val="00A46A8E"/>
    <w:rsid w:val="00A724D5"/>
    <w:rsid w:val="00AF7427"/>
    <w:rsid w:val="00B0118F"/>
    <w:rsid w:val="00B91904"/>
    <w:rsid w:val="00BA4C5B"/>
    <w:rsid w:val="00BC442D"/>
    <w:rsid w:val="00BC48C0"/>
    <w:rsid w:val="00BF356F"/>
    <w:rsid w:val="00C44C9C"/>
    <w:rsid w:val="00C46A8B"/>
    <w:rsid w:val="00C53FD0"/>
    <w:rsid w:val="00C84B45"/>
    <w:rsid w:val="00C93BCB"/>
    <w:rsid w:val="00CA01CD"/>
    <w:rsid w:val="00CA1573"/>
    <w:rsid w:val="00CD7DE2"/>
    <w:rsid w:val="00CE37A1"/>
    <w:rsid w:val="00CF63D1"/>
    <w:rsid w:val="00D13A36"/>
    <w:rsid w:val="00D474F5"/>
    <w:rsid w:val="00D66D6D"/>
    <w:rsid w:val="00D80B1B"/>
    <w:rsid w:val="00DD1A56"/>
    <w:rsid w:val="00DD5131"/>
    <w:rsid w:val="00DE2270"/>
    <w:rsid w:val="00DE5FB7"/>
    <w:rsid w:val="00E06504"/>
    <w:rsid w:val="00E26DC0"/>
    <w:rsid w:val="00E40E0F"/>
    <w:rsid w:val="00EB7116"/>
    <w:rsid w:val="00EE18AB"/>
    <w:rsid w:val="00EF476C"/>
    <w:rsid w:val="00F23ABC"/>
    <w:rsid w:val="00F25BE5"/>
    <w:rsid w:val="00F31D82"/>
    <w:rsid w:val="00F33BC8"/>
    <w:rsid w:val="00F82232"/>
    <w:rsid w:val="00FB0661"/>
    <w:rsid w:val="00FB097F"/>
    <w:rsid w:val="00FD4444"/>
    <w:rsid w:val="00FD534E"/>
    <w:rsid w:val="00FE18F8"/>
    <w:rsid w:val="00FF1C82"/>
    <w:rsid w:val="0B725757"/>
    <w:rsid w:val="0C0C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13F04"/>
  <w15:chartTrackingRefBased/>
  <w15:docId w15:val="{ED1CC05B-3285-4F9E-A25D-A4D9326C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04"/>
    <w:pPr>
      <w:spacing w:before="100" w:beforeAutospacing="1" w:after="100" w:afterAutospacing="1" w:line="240" w:lineRule="auto"/>
    </w:pPr>
    <w:rPr>
      <w:rFonts w:eastAsiaTheme="minorEastAsia" w:cstheme="minorHAnsi"/>
      <w:lang w:eastAsia="de-DE"/>
    </w:rPr>
  </w:style>
  <w:style w:type="paragraph" w:styleId="Heading1">
    <w:name w:val="heading 1"/>
    <w:basedOn w:val="Normal"/>
    <w:next w:val="BodyText"/>
    <w:link w:val="Heading1Char"/>
    <w:uiPriority w:val="9"/>
    <w:qFormat/>
    <w:rsid w:val="0087646F"/>
    <w:pPr>
      <w:keepNext/>
      <w:keepLines/>
      <w:pageBreakBefore/>
      <w:numPr>
        <w:numId w:val="1"/>
      </w:numPr>
      <w:spacing w:before="240" w:after="0"/>
      <w:ind w:left="431" w:hanging="431"/>
      <w:outlineLvl w:val="0"/>
    </w:pPr>
    <w:rPr>
      <w:rFonts w:asciiTheme="majorHAnsi" w:eastAsiaTheme="majorEastAsia" w:hAnsiTheme="majorHAnsi" w:cstheme="majorBidi"/>
      <w:color w:val="2F5496" w:themeColor="accent1" w:themeShade="BF"/>
      <w:sz w:val="52"/>
      <w:szCs w:val="32"/>
    </w:rPr>
  </w:style>
  <w:style w:type="paragraph" w:styleId="Heading2">
    <w:name w:val="heading 2"/>
    <w:basedOn w:val="Normal"/>
    <w:next w:val="BodyText"/>
    <w:link w:val="Heading2Char"/>
    <w:uiPriority w:val="9"/>
    <w:unhideWhenUsed/>
    <w:qFormat/>
    <w:rsid w:val="0087646F"/>
    <w:pPr>
      <w:keepNext/>
      <w:keepLines/>
      <w:numPr>
        <w:ilvl w:val="1"/>
        <w:numId w:val="1"/>
      </w:numPr>
      <w:tabs>
        <w:tab w:val="left" w:pos="851"/>
      </w:tabs>
      <w:spacing w:before="360"/>
      <w:ind w:left="851" w:hanging="851"/>
      <w:outlineLvl w:val="1"/>
    </w:pPr>
    <w:rPr>
      <w:rFonts w:asciiTheme="majorHAnsi" w:eastAsiaTheme="majorEastAsia" w:hAnsiTheme="majorHAnsi" w:cstheme="majorBidi"/>
      <w:color w:val="2F5496" w:themeColor="accent1" w:themeShade="BF"/>
      <w:sz w:val="44"/>
      <w:szCs w:val="26"/>
    </w:rPr>
  </w:style>
  <w:style w:type="paragraph" w:styleId="Heading3">
    <w:name w:val="heading 3"/>
    <w:basedOn w:val="Normal"/>
    <w:next w:val="BodyText"/>
    <w:link w:val="Heading3Char"/>
    <w:uiPriority w:val="9"/>
    <w:unhideWhenUsed/>
    <w:qFormat/>
    <w:rsid w:val="0087646F"/>
    <w:pPr>
      <w:keepNext/>
      <w:keepLines/>
      <w:numPr>
        <w:ilvl w:val="2"/>
        <w:numId w:val="1"/>
      </w:numPr>
      <w:tabs>
        <w:tab w:val="left" w:pos="1134"/>
      </w:tabs>
      <w:spacing w:before="360"/>
      <w:ind w:left="1134" w:hanging="1134"/>
      <w:outlineLvl w:val="2"/>
    </w:pPr>
    <w:rPr>
      <w:rFonts w:asciiTheme="majorHAnsi" w:eastAsiaTheme="majorEastAsia" w:hAnsiTheme="majorHAnsi" w:cstheme="majorBidi"/>
      <w:color w:val="2F5496" w:themeColor="accent1" w:themeShade="BF"/>
      <w:sz w:val="36"/>
      <w:szCs w:val="24"/>
    </w:rPr>
  </w:style>
  <w:style w:type="paragraph" w:styleId="Heading4">
    <w:name w:val="heading 4"/>
    <w:basedOn w:val="Normal"/>
    <w:next w:val="BodyText"/>
    <w:link w:val="Heading4Char"/>
    <w:uiPriority w:val="9"/>
    <w:unhideWhenUsed/>
    <w:qFormat/>
    <w:rsid w:val="005C6E7B"/>
    <w:pPr>
      <w:keepNext/>
      <w:keepLines/>
      <w:numPr>
        <w:ilvl w:val="3"/>
        <w:numId w:val="1"/>
      </w:numPr>
      <w:tabs>
        <w:tab w:val="left" w:pos="1418"/>
      </w:tabs>
      <w:spacing w:before="240" w:after="0"/>
      <w:ind w:left="1418" w:hanging="1418"/>
      <w:outlineLvl w:val="3"/>
    </w:pPr>
    <w:rPr>
      <w:rFonts w:asciiTheme="majorHAnsi" w:eastAsiaTheme="majorEastAsia" w:hAnsiTheme="majorHAnsi" w:cstheme="majorBidi"/>
      <w:iCs/>
      <w:color w:val="2F5496" w:themeColor="accent1" w:themeShade="BF"/>
      <w:sz w:val="28"/>
    </w:rPr>
  </w:style>
  <w:style w:type="paragraph" w:styleId="Heading5">
    <w:name w:val="heading 5"/>
    <w:basedOn w:val="Normal"/>
    <w:next w:val="Normal"/>
    <w:link w:val="Heading5Char"/>
    <w:uiPriority w:val="9"/>
    <w:unhideWhenUsed/>
    <w:qFormat/>
    <w:rsid w:val="0087646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646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646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646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46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46F"/>
    <w:rPr>
      <w:rFonts w:asciiTheme="majorHAnsi" w:eastAsiaTheme="majorEastAsia" w:hAnsiTheme="majorHAnsi" w:cstheme="majorBidi"/>
      <w:color w:val="2F5496" w:themeColor="accent1" w:themeShade="BF"/>
      <w:sz w:val="52"/>
      <w:szCs w:val="32"/>
    </w:rPr>
  </w:style>
  <w:style w:type="character" w:customStyle="1" w:styleId="Heading2Char">
    <w:name w:val="Heading 2 Char"/>
    <w:basedOn w:val="DefaultParagraphFont"/>
    <w:link w:val="Heading2"/>
    <w:uiPriority w:val="9"/>
    <w:rsid w:val="0087646F"/>
    <w:rPr>
      <w:rFonts w:asciiTheme="majorHAnsi" w:eastAsiaTheme="majorEastAsia" w:hAnsiTheme="majorHAnsi" w:cstheme="majorBidi"/>
      <w:color w:val="2F5496" w:themeColor="accent1" w:themeShade="BF"/>
      <w:sz w:val="44"/>
      <w:szCs w:val="26"/>
    </w:rPr>
  </w:style>
  <w:style w:type="character" w:customStyle="1" w:styleId="Heading3Char">
    <w:name w:val="Heading 3 Char"/>
    <w:basedOn w:val="DefaultParagraphFont"/>
    <w:link w:val="Heading3"/>
    <w:uiPriority w:val="9"/>
    <w:rsid w:val="0087646F"/>
    <w:rPr>
      <w:rFonts w:asciiTheme="majorHAnsi" w:eastAsiaTheme="majorEastAsia" w:hAnsiTheme="majorHAnsi" w:cstheme="majorBidi"/>
      <w:color w:val="2F5496" w:themeColor="accent1" w:themeShade="BF"/>
      <w:sz w:val="36"/>
      <w:szCs w:val="24"/>
    </w:rPr>
  </w:style>
  <w:style w:type="character" w:customStyle="1" w:styleId="Heading4Char">
    <w:name w:val="Heading 4 Char"/>
    <w:basedOn w:val="DefaultParagraphFont"/>
    <w:link w:val="Heading4"/>
    <w:uiPriority w:val="9"/>
    <w:rsid w:val="005C6E7B"/>
    <w:rPr>
      <w:rFonts w:asciiTheme="majorHAnsi" w:eastAsiaTheme="majorEastAsia" w:hAnsiTheme="majorHAnsi" w:cstheme="majorBidi"/>
      <w:iCs/>
      <w:color w:val="2F5496" w:themeColor="accent1" w:themeShade="BF"/>
      <w:sz w:val="28"/>
    </w:rPr>
  </w:style>
  <w:style w:type="character" w:customStyle="1" w:styleId="Heading5Char">
    <w:name w:val="Heading 5 Char"/>
    <w:basedOn w:val="DefaultParagraphFont"/>
    <w:link w:val="Heading5"/>
    <w:uiPriority w:val="9"/>
    <w:rsid w:val="0087646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7646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7646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76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46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qFormat/>
    <w:rsid w:val="0087646F"/>
    <w:pPr>
      <w:spacing w:before="120" w:after="120"/>
    </w:pPr>
    <w:rPr>
      <w:rFonts w:ascii="Calibri Light" w:hAnsi="Calibri Light"/>
    </w:rPr>
  </w:style>
  <w:style w:type="character" w:customStyle="1" w:styleId="BodyTextChar">
    <w:name w:val="Body Text Char"/>
    <w:basedOn w:val="DefaultParagraphFont"/>
    <w:link w:val="BodyText"/>
    <w:uiPriority w:val="99"/>
    <w:rsid w:val="0087646F"/>
    <w:rPr>
      <w:rFonts w:ascii="Calibri Light" w:hAnsi="Calibri Light"/>
    </w:rPr>
  </w:style>
  <w:style w:type="paragraph" w:styleId="Title">
    <w:name w:val="Title"/>
    <w:basedOn w:val="Normal"/>
    <w:next w:val="Normal"/>
    <w:link w:val="TitleChar"/>
    <w:uiPriority w:val="10"/>
    <w:qFormat/>
    <w:rsid w:val="005F0A35"/>
    <w:pPr>
      <w:spacing w:before="240" w:after="1080"/>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5F0A35"/>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87646F"/>
    <w:pPr>
      <w:numPr>
        <w:ilvl w:val="1"/>
      </w:numPr>
    </w:pPr>
    <w:rPr>
      <w:rFonts w:asciiTheme="majorHAnsi" w:hAnsiTheme="majorHAnsi"/>
      <w:spacing w:val="15"/>
      <w:sz w:val="52"/>
    </w:rPr>
  </w:style>
  <w:style w:type="character" w:customStyle="1" w:styleId="SubtitleChar">
    <w:name w:val="Subtitle Char"/>
    <w:basedOn w:val="DefaultParagraphFont"/>
    <w:link w:val="Subtitle"/>
    <w:uiPriority w:val="11"/>
    <w:rsid w:val="0087646F"/>
    <w:rPr>
      <w:rFonts w:asciiTheme="majorHAnsi" w:eastAsiaTheme="minorEastAsia" w:hAnsiTheme="majorHAnsi"/>
      <w:spacing w:val="15"/>
      <w:sz w:val="52"/>
    </w:rPr>
  </w:style>
  <w:style w:type="paragraph" w:styleId="Index1">
    <w:name w:val="index 1"/>
    <w:basedOn w:val="Normal"/>
    <w:next w:val="Normal"/>
    <w:autoRedefine/>
    <w:uiPriority w:val="99"/>
    <w:semiHidden/>
    <w:unhideWhenUsed/>
    <w:rsid w:val="0087646F"/>
    <w:pPr>
      <w:spacing w:after="0"/>
      <w:ind w:left="220" w:hanging="220"/>
    </w:pPr>
  </w:style>
  <w:style w:type="paragraph" w:styleId="IndexHeading">
    <w:name w:val="index heading"/>
    <w:basedOn w:val="Heading1"/>
    <w:next w:val="Index1"/>
    <w:uiPriority w:val="99"/>
    <w:unhideWhenUsed/>
    <w:rsid w:val="0087646F"/>
    <w:pPr>
      <w:numPr>
        <w:numId w:val="0"/>
      </w:numPr>
    </w:pPr>
    <w:rPr>
      <w:b/>
      <w:bCs/>
    </w:rPr>
  </w:style>
  <w:style w:type="paragraph" w:styleId="TOCHeading">
    <w:name w:val="TOC Heading"/>
    <w:basedOn w:val="Heading1"/>
    <w:next w:val="Normal"/>
    <w:uiPriority w:val="39"/>
    <w:unhideWhenUsed/>
    <w:qFormat/>
    <w:rsid w:val="0087646F"/>
    <w:pPr>
      <w:pageBreakBefore w:val="0"/>
      <w:numPr>
        <w:numId w:val="0"/>
      </w:numPr>
      <w:outlineLvl w:val="9"/>
    </w:pPr>
    <w:rPr>
      <w:sz w:val="32"/>
    </w:rPr>
  </w:style>
  <w:style w:type="paragraph" w:styleId="TOC1">
    <w:name w:val="toc 1"/>
    <w:basedOn w:val="Normal"/>
    <w:next w:val="Normal"/>
    <w:autoRedefine/>
    <w:uiPriority w:val="39"/>
    <w:unhideWhenUsed/>
    <w:rsid w:val="0087646F"/>
  </w:style>
  <w:style w:type="paragraph" w:styleId="TOC2">
    <w:name w:val="toc 2"/>
    <w:basedOn w:val="Normal"/>
    <w:next w:val="Normal"/>
    <w:autoRedefine/>
    <w:uiPriority w:val="39"/>
    <w:unhideWhenUsed/>
    <w:rsid w:val="0087646F"/>
    <w:pPr>
      <w:ind w:left="220"/>
    </w:pPr>
  </w:style>
  <w:style w:type="paragraph" w:styleId="TOC3">
    <w:name w:val="toc 3"/>
    <w:basedOn w:val="Normal"/>
    <w:next w:val="Normal"/>
    <w:autoRedefine/>
    <w:uiPriority w:val="39"/>
    <w:unhideWhenUsed/>
    <w:rsid w:val="0087646F"/>
    <w:pPr>
      <w:ind w:left="440"/>
    </w:pPr>
  </w:style>
  <w:style w:type="character" w:styleId="Hyperlink">
    <w:name w:val="Hyperlink"/>
    <w:basedOn w:val="DefaultParagraphFont"/>
    <w:uiPriority w:val="99"/>
    <w:unhideWhenUsed/>
    <w:rsid w:val="0087646F"/>
    <w:rPr>
      <w:color w:val="0563C1" w:themeColor="hyperlink"/>
      <w:u w:val="single"/>
    </w:rPr>
  </w:style>
  <w:style w:type="character" w:customStyle="1" w:styleId="InlineCode">
    <w:name w:val="Inline Code"/>
    <w:basedOn w:val="DefaultParagraphFont"/>
    <w:uiPriority w:val="1"/>
    <w:qFormat/>
    <w:rsid w:val="00EE18AB"/>
    <w:rPr>
      <w:rFonts w:ascii="Consolas" w:hAnsi="Consolas"/>
      <w:b w:val="0"/>
      <w:i w:val="0"/>
      <w:color w:val="833C0B" w:themeColor="accent2" w:themeShade="80"/>
      <w:sz w:val="20"/>
      <w:bdr w:val="dotted" w:sz="4" w:space="0" w:color="auto"/>
      <w:shd w:val="clear" w:color="auto" w:fill="F2F2F2" w:themeFill="background1" w:themeFillShade="F2"/>
      <w:lang w:val="en-US"/>
    </w:rPr>
  </w:style>
  <w:style w:type="paragraph" w:customStyle="1" w:styleId="CodeBlock">
    <w:name w:val="Code Block"/>
    <w:basedOn w:val="MessageHeader"/>
    <w:qFormat/>
    <w:rsid w:val="00B91904"/>
    <w:pPr>
      <w:pBdr>
        <w:top w:val="dotted" w:sz="4" w:space="1" w:color="auto"/>
        <w:left w:val="dotted" w:sz="4" w:space="1" w:color="auto"/>
        <w:bottom w:val="dotted" w:sz="4" w:space="1" w:color="auto"/>
        <w:right w:val="dotted" w:sz="4" w:space="1" w:color="auto"/>
      </w:pBdr>
      <w:shd w:val="clear" w:color="auto" w:fill="F2F2F2" w:themeFill="background1" w:themeFillShade="F2"/>
      <w:spacing w:before="0" w:beforeAutospacing="0" w:afterAutospacing="0"/>
    </w:pPr>
    <w:rPr>
      <w:rFonts w:ascii="Consolas" w:hAnsi="Consolas"/>
      <w:color w:val="833C0B" w:themeColor="accent2" w:themeShade="80"/>
      <w:sz w:val="20"/>
      <w:lang w:val="en-US"/>
    </w:rPr>
  </w:style>
  <w:style w:type="paragraph" w:styleId="NoSpacing">
    <w:name w:val="No Spacing"/>
    <w:uiPriority w:val="1"/>
    <w:qFormat/>
    <w:rsid w:val="001D2973"/>
    <w:pPr>
      <w:spacing w:after="0" w:line="240" w:lineRule="auto"/>
    </w:pPr>
  </w:style>
  <w:style w:type="paragraph" w:styleId="MessageHeader">
    <w:name w:val="Message Header"/>
    <w:basedOn w:val="Normal"/>
    <w:link w:val="MessageHeaderChar"/>
    <w:uiPriority w:val="99"/>
    <w:semiHidden/>
    <w:unhideWhenUsed/>
    <w:rsid w:val="003665A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665AD"/>
    <w:rPr>
      <w:rFonts w:asciiTheme="majorHAnsi" w:eastAsiaTheme="majorEastAsia" w:hAnsiTheme="majorHAnsi" w:cstheme="majorBidi"/>
      <w:sz w:val="24"/>
      <w:szCs w:val="24"/>
      <w:shd w:val="pct20" w:color="auto" w:fill="auto"/>
    </w:rPr>
  </w:style>
  <w:style w:type="table" w:styleId="TableGrid">
    <w:name w:val="Table Grid"/>
    <w:basedOn w:val="TableNormal"/>
    <w:uiPriority w:val="39"/>
    <w:rsid w:val="001D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
    <w:name w:val="Tabellenkopf"/>
    <w:basedOn w:val="BodyText"/>
    <w:qFormat/>
    <w:rsid w:val="00215C5C"/>
    <w:rPr>
      <w:rFonts w:asciiTheme="minorHAnsi" w:hAnsiTheme="minorHAnsi"/>
      <w:b/>
    </w:rPr>
  </w:style>
  <w:style w:type="paragraph" w:customStyle="1" w:styleId="Tabellenkrper">
    <w:name w:val="Tabellenkörper"/>
    <w:basedOn w:val="BodyText"/>
    <w:qFormat/>
    <w:rsid w:val="001D2973"/>
  </w:style>
  <w:style w:type="paragraph" w:styleId="Header">
    <w:name w:val="header"/>
    <w:basedOn w:val="Normal"/>
    <w:link w:val="HeaderChar"/>
    <w:uiPriority w:val="99"/>
    <w:unhideWhenUsed/>
    <w:rsid w:val="000D5630"/>
    <w:pPr>
      <w:tabs>
        <w:tab w:val="center" w:pos="4536"/>
        <w:tab w:val="right" w:pos="9072"/>
      </w:tabs>
      <w:spacing w:after="0"/>
    </w:pPr>
  </w:style>
  <w:style w:type="character" w:customStyle="1" w:styleId="HeaderChar">
    <w:name w:val="Header Char"/>
    <w:basedOn w:val="DefaultParagraphFont"/>
    <w:link w:val="Header"/>
    <w:uiPriority w:val="99"/>
    <w:rsid w:val="000D5630"/>
  </w:style>
  <w:style w:type="paragraph" w:styleId="Footer">
    <w:name w:val="footer"/>
    <w:basedOn w:val="Normal"/>
    <w:link w:val="FooterChar"/>
    <w:uiPriority w:val="99"/>
    <w:unhideWhenUsed/>
    <w:rsid w:val="00BC442D"/>
    <w:pPr>
      <w:tabs>
        <w:tab w:val="center" w:pos="4536"/>
        <w:tab w:val="right" w:pos="9072"/>
      </w:tabs>
      <w:spacing w:before="240" w:beforeAutospacing="0" w:after="0" w:afterAutospacing="0"/>
    </w:pPr>
    <w:rPr>
      <w:rFonts w:asciiTheme="majorHAnsi" w:hAnsiTheme="majorHAnsi"/>
    </w:rPr>
  </w:style>
  <w:style w:type="character" w:customStyle="1" w:styleId="FooterChar">
    <w:name w:val="Footer Char"/>
    <w:basedOn w:val="DefaultParagraphFont"/>
    <w:link w:val="Footer"/>
    <w:uiPriority w:val="99"/>
    <w:rsid w:val="00BC442D"/>
    <w:rPr>
      <w:rFonts w:asciiTheme="majorHAnsi" w:eastAsiaTheme="minorEastAsia" w:hAnsiTheme="majorHAnsi" w:cstheme="minorHAnsi"/>
      <w:lang w:eastAsia="de-DE"/>
    </w:rPr>
  </w:style>
  <w:style w:type="paragraph" w:styleId="NormalWeb">
    <w:name w:val="Normal (Web)"/>
    <w:basedOn w:val="Normal"/>
    <w:uiPriority w:val="99"/>
    <w:unhideWhenUsed/>
    <w:rsid w:val="00404FAC"/>
  </w:style>
  <w:style w:type="character" w:styleId="Strong">
    <w:name w:val="Strong"/>
    <w:basedOn w:val="DefaultParagraphFont"/>
    <w:uiPriority w:val="22"/>
    <w:qFormat/>
    <w:rsid w:val="00404FAC"/>
    <w:rPr>
      <w:b/>
      <w:bCs/>
    </w:rPr>
  </w:style>
  <w:style w:type="character" w:customStyle="1" w:styleId="inline-comment-marker">
    <w:name w:val="inline-comment-marker"/>
    <w:basedOn w:val="DefaultParagraphFont"/>
    <w:rsid w:val="00404FAC"/>
  </w:style>
  <w:style w:type="character" w:styleId="Emphasis">
    <w:name w:val="Emphasis"/>
    <w:basedOn w:val="DefaultParagraphFont"/>
    <w:uiPriority w:val="20"/>
    <w:qFormat/>
    <w:rsid w:val="00404FAC"/>
    <w:rPr>
      <w:i/>
      <w:iCs/>
    </w:rPr>
  </w:style>
  <w:style w:type="character" w:customStyle="1" w:styleId="h3">
    <w:name w:val="h3"/>
    <w:basedOn w:val="DefaultParagraphFont"/>
    <w:rsid w:val="00404FAC"/>
  </w:style>
  <w:style w:type="paragraph" w:styleId="HTMLPreformatted">
    <w:name w:val="HTML Preformatted"/>
    <w:basedOn w:val="Normal"/>
    <w:link w:val="HTMLPreformattedChar"/>
    <w:uiPriority w:val="99"/>
    <w:unhideWhenUsed/>
    <w:rsid w:val="0040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04FAC"/>
    <w:rPr>
      <w:rFonts w:ascii="Courier New" w:eastAsiaTheme="minorEastAsia" w:hAnsi="Courier New" w:cs="Courier New"/>
      <w:sz w:val="20"/>
      <w:szCs w:val="20"/>
      <w:lang w:eastAsia="de-DE"/>
    </w:rPr>
  </w:style>
  <w:style w:type="character" w:customStyle="1" w:styleId="h1">
    <w:name w:val="h1"/>
    <w:basedOn w:val="DefaultParagraphFont"/>
    <w:rsid w:val="00404FAC"/>
  </w:style>
  <w:style w:type="paragraph" w:styleId="ListParagraph">
    <w:name w:val="List Paragraph"/>
    <w:basedOn w:val="Normal"/>
    <w:uiPriority w:val="34"/>
    <w:qFormat/>
    <w:rsid w:val="00404FAC"/>
    <w:pPr>
      <w:ind w:left="720"/>
      <w:contextualSpacing/>
    </w:pPr>
  </w:style>
  <w:style w:type="paragraph" w:styleId="CommentText">
    <w:name w:val="annotation text"/>
    <w:basedOn w:val="Normal"/>
    <w:link w:val="CommentTextChar"/>
    <w:unhideWhenUsed/>
    <w:qFormat/>
    <w:rsid w:val="00404FAC"/>
    <w:rPr>
      <w:sz w:val="20"/>
      <w:szCs w:val="20"/>
    </w:rPr>
  </w:style>
  <w:style w:type="character" w:customStyle="1" w:styleId="CommentTextChar">
    <w:name w:val="Comment Text Char"/>
    <w:basedOn w:val="DefaultParagraphFont"/>
    <w:link w:val="CommentText"/>
    <w:qFormat/>
    <w:rsid w:val="00404FAC"/>
    <w:rPr>
      <w:rFonts w:eastAsiaTheme="minorEastAsia" w:cstheme="minorHAnsi"/>
      <w:sz w:val="20"/>
      <w:szCs w:val="20"/>
      <w:lang w:eastAsia="de-DE"/>
    </w:rPr>
  </w:style>
  <w:style w:type="character" w:styleId="CommentReference">
    <w:name w:val="annotation reference"/>
    <w:basedOn w:val="DefaultParagraphFont"/>
    <w:semiHidden/>
    <w:unhideWhenUsed/>
    <w:qFormat/>
    <w:rsid w:val="00404FAC"/>
    <w:rPr>
      <w:sz w:val="16"/>
      <w:szCs w:val="16"/>
    </w:rPr>
  </w:style>
  <w:style w:type="paragraph" w:customStyle="1" w:styleId="Zwischenberschrift">
    <w:name w:val="Zwischenüberschrift"/>
    <w:basedOn w:val="BodyText"/>
    <w:qFormat/>
    <w:rsid w:val="001F5075"/>
    <w:pPr>
      <w:keepNext/>
      <w:keepLines/>
      <w:spacing w:before="360" w:beforeAutospacing="0" w:afterAutospacing="0"/>
    </w:pPr>
    <w:rPr>
      <w:rFonts w:eastAsiaTheme="minorHAnsi" w:cstheme="minorBidi"/>
      <w:b/>
      <w:bCs/>
      <w:lang w:val="en-US" w:eastAsia="en-US"/>
    </w:rPr>
  </w:style>
  <w:style w:type="character" w:styleId="UnresolvedMention">
    <w:name w:val="Unresolved Mention"/>
    <w:basedOn w:val="DefaultParagraphFont"/>
    <w:uiPriority w:val="99"/>
    <w:semiHidden/>
    <w:unhideWhenUsed/>
    <w:rsid w:val="0083022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3EC"/>
    <w:rPr>
      <w:b/>
      <w:bCs/>
    </w:rPr>
  </w:style>
  <w:style w:type="character" w:customStyle="1" w:styleId="CommentSubjectChar">
    <w:name w:val="Comment Subject Char"/>
    <w:basedOn w:val="CommentTextChar"/>
    <w:link w:val="CommentSubject"/>
    <w:uiPriority w:val="99"/>
    <w:semiHidden/>
    <w:rsid w:val="001613EC"/>
    <w:rPr>
      <w:rFonts w:eastAsiaTheme="minorEastAsia" w:cstheme="minorHAns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datatracker.ietf.org/doc/html/rfc7519" TargetMode="External"/><Relationship Id="rId3" Type="http://schemas.openxmlformats.org/officeDocument/2006/relationships/customXml" Target="../customXml/item3.xml"/><Relationship Id="rId21" Type="http://schemas.openxmlformats.org/officeDocument/2006/relationships/hyperlink" Target="https://datatracker.ietf.org/doc/html/rfc675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atatracker.ietf.org/doc/html/rfc6749" TargetMode="External"/><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hyperlink" Target="https://ldapwiki.com/wiki/Opaque%20tok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atatracker.ietf.org/doc/html/rfc761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dapwiki.com/wiki/JSON%20Web%20Toke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llm.tueting@conology.ne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i\Projekte\Clearing\Verband%20der%20Anbieter%20von%20Telekommunikations-%20und%20Mehrwertdiensten%20e.%20V\AG%20Clearing%20beim%20AK%20S&amp;P%20-%20Clearing-Specs%20V1.0%20Draf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c5bda2-8c3b-4250-a2ad-eb9ab13d6476">
      <Terms xmlns="http://schemas.microsoft.com/office/infopath/2007/PartnerControls"/>
    </lcf76f155ced4ddcb4097134ff3c332f>
    <TaxCatchAll xmlns="1420f2e3-ed0f-4ac2-84da-c8b14a3c10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14EE97097E9DC47B202BBDDE380CFE4" ma:contentTypeVersion="13" ma:contentTypeDescription="Ein neues Dokument erstellen." ma:contentTypeScope="" ma:versionID="5839901302f42a0e8d03db3f2bd8e0c0">
  <xsd:schema xmlns:xsd="http://www.w3.org/2001/XMLSchema" xmlns:xs="http://www.w3.org/2001/XMLSchema" xmlns:p="http://schemas.microsoft.com/office/2006/metadata/properties" xmlns:ns2="7bc5bda2-8c3b-4250-a2ad-eb9ab13d6476" xmlns:ns3="1420f2e3-ed0f-4ac2-84da-c8b14a3c10ff" targetNamespace="http://schemas.microsoft.com/office/2006/metadata/properties" ma:root="true" ma:fieldsID="936de093c90b4f72495f788dabb27995" ns2:_="" ns3:_="">
    <xsd:import namespace="7bc5bda2-8c3b-4250-a2ad-eb9ab13d6476"/>
    <xsd:import namespace="1420f2e3-ed0f-4ac2-84da-c8b14a3c1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5bda2-8c3b-4250-a2ad-eb9ab13d6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9853f4f2-1d40-44ca-9665-64fc7404f2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0f2e3-ed0f-4ac2-84da-c8b14a3c10f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e3fcefb-27fb-4ed0-a492-e052979c1c7f}" ma:internalName="TaxCatchAll" ma:showField="CatchAllData" ma:web="1420f2e3-ed0f-4ac2-84da-c8b14a3c1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E5350-9DA1-4260-A8A6-4C02C7F7B448}">
  <ds:schemaRefs>
    <ds:schemaRef ds:uri="http://schemas.microsoft.com/sharepoint/v3/contenttype/forms"/>
  </ds:schemaRefs>
</ds:datastoreItem>
</file>

<file path=customXml/itemProps2.xml><?xml version="1.0" encoding="utf-8"?>
<ds:datastoreItem xmlns:ds="http://schemas.openxmlformats.org/officeDocument/2006/customXml" ds:itemID="{1AE5AC9F-FD5B-48E9-87D4-ECDAB52D93A1}">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420f2e3-ed0f-4ac2-84da-c8b14a3c10ff"/>
    <ds:schemaRef ds:uri="7bc5bda2-8c3b-4250-a2ad-eb9ab13d6476"/>
    <ds:schemaRef ds:uri="http://www.w3.org/XML/1998/namespace"/>
  </ds:schemaRefs>
</ds:datastoreItem>
</file>

<file path=customXml/itemProps3.xml><?xml version="1.0" encoding="utf-8"?>
<ds:datastoreItem xmlns:ds="http://schemas.openxmlformats.org/officeDocument/2006/customXml" ds:itemID="{733847A9-9A6A-48B4-B6EF-A9A963442A17}">
  <ds:schemaRefs>
    <ds:schemaRef ds:uri="http://schemas.openxmlformats.org/officeDocument/2006/bibliography"/>
  </ds:schemaRefs>
</ds:datastoreItem>
</file>

<file path=customXml/itemProps4.xml><?xml version="1.0" encoding="utf-8"?>
<ds:datastoreItem xmlns:ds="http://schemas.openxmlformats.org/officeDocument/2006/customXml" ds:itemID="{C529E961-D769-45E6-A9F6-6B2D6313647F}"/>
</file>

<file path=docProps/app.xml><?xml version="1.0" encoding="utf-8"?>
<Properties xmlns="http://schemas.openxmlformats.org/officeDocument/2006/extended-properties" xmlns:vt="http://schemas.openxmlformats.org/officeDocument/2006/docPropsVTypes">
  <Template>vorlage.dotx</Template>
  <TotalTime>0</TotalTime>
  <Pages>1</Pages>
  <Words>2077</Words>
  <Characters>11844</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13894</CharactersWithSpaces>
  <SharedDoc>false</SharedDoc>
  <HLinks>
    <vt:vector size="114" baseType="variant">
      <vt:variant>
        <vt:i4>524364</vt:i4>
      </vt:variant>
      <vt:variant>
        <vt:i4>93</vt:i4>
      </vt:variant>
      <vt:variant>
        <vt:i4>0</vt:i4>
      </vt:variant>
      <vt:variant>
        <vt:i4>5</vt:i4>
      </vt:variant>
      <vt:variant>
        <vt:lpwstr>https://datatracker.ietf.org/doc/html/rfc6750</vt:lpwstr>
      </vt:variant>
      <vt:variant>
        <vt:lpwstr/>
      </vt:variant>
      <vt:variant>
        <vt:i4>2949230</vt:i4>
      </vt:variant>
      <vt:variant>
        <vt:i4>90</vt:i4>
      </vt:variant>
      <vt:variant>
        <vt:i4>0</vt:i4>
      </vt:variant>
      <vt:variant>
        <vt:i4>5</vt:i4>
      </vt:variant>
      <vt:variant>
        <vt:lpwstr>https://ldapwiki.com/wiki/Opaque token</vt:lpwstr>
      </vt:variant>
      <vt:variant>
        <vt:lpwstr/>
      </vt:variant>
      <vt:variant>
        <vt:i4>4259925</vt:i4>
      </vt:variant>
      <vt:variant>
        <vt:i4>87</vt:i4>
      </vt:variant>
      <vt:variant>
        <vt:i4>0</vt:i4>
      </vt:variant>
      <vt:variant>
        <vt:i4>5</vt:i4>
      </vt:variant>
      <vt:variant>
        <vt:lpwstr>https://ldapwiki.com/wiki/JSON Web Tokens</vt:lpwstr>
      </vt:variant>
      <vt:variant>
        <vt:lpwstr/>
      </vt:variant>
      <vt:variant>
        <vt:i4>852046</vt:i4>
      </vt:variant>
      <vt:variant>
        <vt:i4>84</vt:i4>
      </vt:variant>
      <vt:variant>
        <vt:i4>0</vt:i4>
      </vt:variant>
      <vt:variant>
        <vt:i4>5</vt:i4>
      </vt:variant>
      <vt:variant>
        <vt:lpwstr>https://datatracker.ietf.org/doc/html/rfc7519</vt:lpwstr>
      </vt:variant>
      <vt:variant>
        <vt:lpwstr/>
      </vt:variant>
      <vt:variant>
        <vt:i4>7602287</vt:i4>
      </vt:variant>
      <vt:variant>
        <vt:i4>81</vt:i4>
      </vt:variant>
      <vt:variant>
        <vt:i4>0</vt:i4>
      </vt:variant>
      <vt:variant>
        <vt:i4>5</vt:i4>
      </vt:variant>
      <vt:variant>
        <vt:lpwstr>https://datatracker.ietf.org/doc/html/rfc6749</vt:lpwstr>
      </vt:variant>
      <vt:variant>
        <vt:lpwstr>section-4.4</vt:lpwstr>
      </vt:variant>
      <vt:variant>
        <vt:i4>852045</vt:i4>
      </vt:variant>
      <vt:variant>
        <vt:i4>78</vt:i4>
      </vt:variant>
      <vt:variant>
        <vt:i4>0</vt:i4>
      </vt:variant>
      <vt:variant>
        <vt:i4>5</vt:i4>
      </vt:variant>
      <vt:variant>
        <vt:lpwstr>https://datatracker.ietf.org/doc/html/rfc7617</vt:lpwstr>
      </vt:variant>
      <vt:variant>
        <vt:lpwstr/>
      </vt:variant>
      <vt:variant>
        <vt:i4>2031679</vt:i4>
      </vt:variant>
      <vt:variant>
        <vt:i4>71</vt:i4>
      </vt:variant>
      <vt:variant>
        <vt:i4>0</vt:i4>
      </vt:variant>
      <vt:variant>
        <vt:i4>5</vt:i4>
      </vt:variant>
      <vt:variant>
        <vt:lpwstr/>
      </vt:variant>
      <vt:variant>
        <vt:lpwstr>_Toc107915844</vt:lpwstr>
      </vt:variant>
      <vt:variant>
        <vt:i4>2031679</vt:i4>
      </vt:variant>
      <vt:variant>
        <vt:i4>65</vt:i4>
      </vt:variant>
      <vt:variant>
        <vt:i4>0</vt:i4>
      </vt:variant>
      <vt:variant>
        <vt:i4>5</vt:i4>
      </vt:variant>
      <vt:variant>
        <vt:lpwstr/>
      </vt:variant>
      <vt:variant>
        <vt:lpwstr>_Toc107915843</vt:lpwstr>
      </vt:variant>
      <vt:variant>
        <vt:i4>2031679</vt:i4>
      </vt:variant>
      <vt:variant>
        <vt:i4>59</vt:i4>
      </vt:variant>
      <vt:variant>
        <vt:i4>0</vt:i4>
      </vt:variant>
      <vt:variant>
        <vt:i4>5</vt:i4>
      </vt:variant>
      <vt:variant>
        <vt:lpwstr/>
      </vt:variant>
      <vt:variant>
        <vt:lpwstr>_Toc107915842</vt:lpwstr>
      </vt:variant>
      <vt:variant>
        <vt:i4>2031679</vt:i4>
      </vt:variant>
      <vt:variant>
        <vt:i4>53</vt:i4>
      </vt:variant>
      <vt:variant>
        <vt:i4>0</vt:i4>
      </vt:variant>
      <vt:variant>
        <vt:i4>5</vt:i4>
      </vt:variant>
      <vt:variant>
        <vt:lpwstr/>
      </vt:variant>
      <vt:variant>
        <vt:lpwstr>_Toc107915841</vt:lpwstr>
      </vt:variant>
      <vt:variant>
        <vt:i4>2031679</vt:i4>
      </vt:variant>
      <vt:variant>
        <vt:i4>47</vt:i4>
      </vt:variant>
      <vt:variant>
        <vt:i4>0</vt:i4>
      </vt:variant>
      <vt:variant>
        <vt:i4>5</vt:i4>
      </vt:variant>
      <vt:variant>
        <vt:lpwstr/>
      </vt:variant>
      <vt:variant>
        <vt:lpwstr>_Toc107915840</vt:lpwstr>
      </vt:variant>
      <vt:variant>
        <vt:i4>1572927</vt:i4>
      </vt:variant>
      <vt:variant>
        <vt:i4>41</vt:i4>
      </vt:variant>
      <vt:variant>
        <vt:i4>0</vt:i4>
      </vt:variant>
      <vt:variant>
        <vt:i4>5</vt:i4>
      </vt:variant>
      <vt:variant>
        <vt:lpwstr/>
      </vt:variant>
      <vt:variant>
        <vt:lpwstr>_Toc107915839</vt:lpwstr>
      </vt:variant>
      <vt:variant>
        <vt:i4>1572927</vt:i4>
      </vt:variant>
      <vt:variant>
        <vt:i4>35</vt:i4>
      </vt:variant>
      <vt:variant>
        <vt:i4>0</vt:i4>
      </vt:variant>
      <vt:variant>
        <vt:i4>5</vt:i4>
      </vt:variant>
      <vt:variant>
        <vt:lpwstr/>
      </vt:variant>
      <vt:variant>
        <vt:lpwstr>_Toc107915838</vt:lpwstr>
      </vt:variant>
      <vt:variant>
        <vt:i4>1572927</vt:i4>
      </vt:variant>
      <vt:variant>
        <vt:i4>29</vt:i4>
      </vt:variant>
      <vt:variant>
        <vt:i4>0</vt:i4>
      </vt:variant>
      <vt:variant>
        <vt:i4>5</vt:i4>
      </vt:variant>
      <vt:variant>
        <vt:lpwstr/>
      </vt:variant>
      <vt:variant>
        <vt:lpwstr>_Toc107915837</vt:lpwstr>
      </vt:variant>
      <vt:variant>
        <vt:i4>1572927</vt:i4>
      </vt:variant>
      <vt:variant>
        <vt:i4>23</vt:i4>
      </vt:variant>
      <vt:variant>
        <vt:i4>0</vt:i4>
      </vt:variant>
      <vt:variant>
        <vt:i4>5</vt:i4>
      </vt:variant>
      <vt:variant>
        <vt:lpwstr/>
      </vt:variant>
      <vt:variant>
        <vt:lpwstr>_Toc107915836</vt:lpwstr>
      </vt:variant>
      <vt:variant>
        <vt:i4>1572927</vt:i4>
      </vt:variant>
      <vt:variant>
        <vt:i4>17</vt:i4>
      </vt:variant>
      <vt:variant>
        <vt:i4>0</vt:i4>
      </vt:variant>
      <vt:variant>
        <vt:i4>5</vt:i4>
      </vt:variant>
      <vt:variant>
        <vt:lpwstr/>
      </vt:variant>
      <vt:variant>
        <vt:lpwstr>_Toc107915835</vt:lpwstr>
      </vt:variant>
      <vt:variant>
        <vt:i4>1572927</vt:i4>
      </vt:variant>
      <vt:variant>
        <vt:i4>11</vt:i4>
      </vt:variant>
      <vt:variant>
        <vt:i4>0</vt:i4>
      </vt:variant>
      <vt:variant>
        <vt:i4>5</vt:i4>
      </vt:variant>
      <vt:variant>
        <vt:lpwstr/>
      </vt:variant>
      <vt:variant>
        <vt:lpwstr>_Toc107915834</vt:lpwstr>
      </vt:variant>
      <vt:variant>
        <vt:i4>1572927</vt:i4>
      </vt:variant>
      <vt:variant>
        <vt:i4>5</vt:i4>
      </vt:variant>
      <vt:variant>
        <vt:i4>0</vt:i4>
      </vt:variant>
      <vt:variant>
        <vt:i4>5</vt:i4>
      </vt:variant>
      <vt:variant>
        <vt:lpwstr/>
      </vt:variant>
      <vt:variant>
        <vt:lpwstr>_Toc107915833</vt:lpwstr>
      </vt:variant>
      <vt:variant>
        <vt:i4>4587574</vt:i4>
      </vt:variant>
      <vt:variant>
        <vt:i4>0</vt:i4>
      </vt:variant>
      <vt:variant>
        <vt:i4>0</vt:i4>
      </vt:variant>
      <vt:variant>
        <vt:i4>5</vt:i4>
      </vt:variant>
      <vt:variant>
        <vt:lpwstr>mailto:willm.tueting@conology.net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Riedel</dc:creator>
  <cp:keywords/>
  <dc:description/>
  <cp:lastModifiedBy>Thomas Dominikowski</cp:lastModifiedBy>
  <cp:revision>110</cp:revision>
  <cp:lastPrinted>2022-09-09T17:41:00Z</cp:lastPrinted>
  <dcterms:created xsi:type="dcterms:W3CDTF">2022-07-05T18:03:00Z</dcterms:created>
  <dcterms:modified xsi:type="dcterms:W3CDTF">2023-09-25T17:56:00Z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0x010100B14EE97097E9DC47B202BBDDE380CFE4</vt:lpwstr>
  </property>
  <property fmtid="{D5CDD505-2E9C-101B-9397-08002B2CF9AE}" pid="3" name="MediaServiceImageTags">
    <vt:lpwstr/>
  </property>
</Properties>
</file>