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9947" w14:textId="77777777" w:rsidR="00F94D05" w:rsidRPr="002D2922" w:rsidRDefault="00F94D05" w:rsidP="00F94D05">
      <w:pPr>
        <w:pStyle w:val="berschrift1"/>
        <w:ind w:left="0" w:firstLine="0"/>
        <w:rPr>
          <w:sz w:val="20"/>
          <w:szCs w:val="20"/>
        </w:rPr>
      </w:pPr>
      <w:r w:rsidRPr="002D2922">
        <w:rPr>
          <w:sz w:val="20"/>
          <w:szCs w:val="20"/>
        </w:rPr>
        <w:t>Anlage</w:t>
      </w:r>
      <w:r w:rsidR="00E64AC8">
        <w:rPr>
          <w:sz w:val="20"/>
          <w:szCs w:val="20"/>
        </w:rPr>
        <w:t xml:space="preserve"> 1</w:t>
      </w:r>
      <w:r w:rsidRPr="002D2922">
        <w:rPr>
          <w:sz w:val="20"/>
          <w:szCs w:val="20"/>
        </w:rPr>
        <w:t xml:space="preserve"> </w:t>
      </w:r>
      <w:r w:rsidRPr="002D2922">
        <w:rPr>
          <w:rFonts w:eastAsia="Calibri"/>
          <w:sz w:val="20"/>
          <w:szCs w:val="20"/>
        </w:rPr>
        <w:t>Vereinbarung über das besondere Verfahren für Erklärungen des Endkunden im Zusammenhang mit dem Anbieterwechsel und Rufnummernübertragung</w:t>
      </w:r>
    </w:p>
    <w:p w14:paraId="3C022F08" w14:textId="77777777" w:rsidR="00F94D05" w:rsidRPr="002D2922" w:rsidRDefault="00F94D05" w:rsidP="00F94D05">
      <w:pPr>
        <w:pStyle w:val="berschrift1"/>
        <w:ind w:left="0" w:firstLine="0"/>
        <w:rPr>
          <w:sz w:val="20"/>
          <w:szCs w:val="20"/>
        </w:rPr>
      </w:pPr>
    </w:p>
    <w:p w14:paraId="3AD311A9" w14:textId="77777777" w:rsidR="00F94D05" w:rsidRPr="002D2922" w:rsidRDefault="00F94D05" w:rsidP="00F94D05">
      <w:pPr>
        <w:pStyle w:val="berschrift1"/>
        <w:ind w:left="0"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Pr="002D2922">
        <w:rPr>
          <w:sz w:val="20"/>
          <w:szCs w:val="20"/>
        </w:rPr>
        <w:t>.</w:t>
      </w:r>
      <w:r w:rsidRPr="002D2922">
        <w:rPr>
          <w:sz w:val="20"/>
          <w:szCs w:val="20"/>
        </w:rPr>
        <w:tab/>
        <w:t xml:space="preserve">Willenserklärung des Endkunden </w:t>
      </w:r>
    </w:p>
    <w:p w14:paraId="4E594C5F" w14:textId="0B0693C5" w:rsidR="00F94D05" w:rsidRDefault="00F94D05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2D2922">
        <w:rPr>
          <w:rFonts w:ascii="Arial" w:hAnsi="Arial" w:cs="Arial"/>
          <w:sz w:val="20"/>
          <w:szCs w:val="20"/>
        </w:rPr>
        <w:t>Der Anbieterwechsel mit / oder ohne Rufnummernübertragung erfordert die Kündigung des Endkunden über seinen Anschluss und ggf. den Auftrag zur</w:t>
      </w:r>
      <w:r w:rsidR="00F96FF2">
        <w:rPr>
          <w:rFonts w:ascii="Arial" w:hAnsi="Arial" w:cs="Arial"/>
          <w:sz w:val="20"/>
          <w:szCs w:val="20"/>
        </w:rPr>
        <w:t xml:space="preserve"> Mitnahme</w:t>
      </w:r>
      <w:r w:rsidRPr="002D2922">
        <w:rPr>
          <w:rFonts w:ascii="Arial" w:hAnsi="Arial" w:cs="Arial"/>
          <w:sz w:val="20"/>
          <w:szCs w:val="20"/>
        </w:rPr>
        <w:t xml:space="preserve"> </w:t>
      </w:r>
      <w:r w:rsidR="00F96FF2">
        <w:rPr>
          <w:rFonts w:ascii="Arial" w:hAnsi="Arial" w:cs="Arial"/>
          <w:sz w:val="20"/>
          <w:szCs w:val="20"/>
        </w:rPr>
        <w:t>(</w:t>
      </w:r>
      <w:r w:rsidR="00146C67">
        <w:rPr>
          <w:rFonts w:ascii="Arial" w:hAnsi="Arial" w:cs="Arial"/>
          <w:sz w:val="20"/>
          <w:szCs w:val="20"/>
        </w:rPr>
        <w:t>Beibehaltung)</w:t>
      </w:r>
      <w:r w:rsidRPr="002D2922">
        <w:rPr>
          <w:rFonts w:ascii="Arial" w:hAnsi="Arial" w:cs="Arial"/>
          <w:sz w:val="20"/>
          <w:szCs w:val="20"/>
        </w:rPr>
        <w:t xml:space="preserve"> seiner an diesem Anschluss geschalteten Rufnummer(n) gegenüber dem </w:t>
      </w:r>
      <w:r w:rsidR="00F141E7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hAnsi="Arial" w:cs="Arial"/>
          <w:sz w:val="20"/>
          <w:szCs w:val="20"/>
        </w:rPr>
        <w:t>.</w:t>
      </w:r>
    </w:p>
    <w:p w14:paraId="10FD6FF2" w14:textId="77777777" w:rsidR="006F0AC8" w:rsidRDefault="006F0AC8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65BC55C7" w14:textId="2E90CA4D" w:rsidR="006F0AC8" w:rsidRDefault="006F0AC8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Vertragsparteien haben hierbei folgendes Verständnis:</w:t>
      </w:r>
    </w:p>
    <w:p w14:paraId="2801A8C6" w14:textId="77777777" w:rsidR="006F0AC8" w:rsidRDefault="006F0AC8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3EFB266D" w14:textId="4351BBB9" w:rsidR="006F0AC8" w:rsidRDefault="006F0AC8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Pr="00B26EA6">
        <w:rPr>
          <w:rFonts w:ascii="Arial" w:hAnsi="Arial" w:cs="Arial"/>
          <w:b/>
          <w:sz w:val="20"/>
          <w:szCs w:val="20"/>
        </w:rPr>
        <w:t>Endkundenerklärung</w:t>
      </w:r>
      <w:r>
        <w:rPr>
          <w:rFonts w:ascii="Arial" w:hAnsi="Arial" w:cs="Arial"/>
          <w:sz w:val="20"/>
          <w:szCs w:val="20"/>
        </w:rPr>
        <w:t xml:space="preserve"> </w:t>
      </w:r>
      <w:r w:rsidR="007E743E">
        <w:rPr>
          <w:rFonts w:ascii="Arial" w:hAnsi="Arial" w:cs="Arial"/>
          <w:sz w:val="20"/>
          <w:szCs w:val="20"/>
        </w:rPr>
        <w:t xml:space="preserve">im Sinne dieser Vereinbarung </w:t>
      </w:r>
      <w:r>
        <w:rPr>
          <w:rFonts w:ascii="Arial" w:hAnsi="Arial" w:cs="Arial"/>
          <w:sz w:val="20"/>
          <w:szCs w:val="20"/>
        </w:rPr>
        <w:t xml:space="preserve">ist entweder </w:t>
      </w:r>
    </w:p>
    <w:p w14:paraId="4BF7929D" w14:textId="77777777" w:rsidR="006F0AC8" w:rsidRDefault="006F0AC8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38551F19" w14:textId="397A4427" w:rsidR="006F0AC8" w:rsidRPr="00B26EA6" w:rsidRDefault="006F0AC8" w:rsidP="00BC7BE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B26EA6">
        <w:rPr>
          <w:rFonts w:ascii="Arial" w:eastAsia="Arial" w:hAnsi="Arial" w:cs="Arial"/>
          <w:sz w:val="20"/>
          <w:szCs w:val="20"/>
        </w:rPr>
        <w:t>die Erklärung des Endkunden, den Vertrag zwischen ihm und dem EPK</w:t>
      </w:r>
      <w:r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B26EA6">
        <w:rPr>
          <w:rFonts w:ascii="Arial" w:eastAsia="Arial" w:hAnsi="Arial" w:cs="Arial"/>
          <w:sz w:val="20"/>
          <w:szCs w:val="20"/>
        </w:rPr>
        <w:t xml:space="preserve"> über die Anschlussleistung zu kündigen und, soweit gewünscht, die Erklärung des Endkunden, </w:t>
      </w:r>
      <w:r w:rsidR="007E743E">
        <w:rPr>
          <w:rFonts w:ascii="Arial" w:eastAsia="Arial" w:hAnsi="Arial" w:cs="Arial"/>
          <w:sz w:val="20"/>
          <w:szCs w:val="20"/>
        </w:rPr>
        <w:t>die ihm zugeteilten Rufnummern</w:t>
      </w:r>
      <w:r w:rsidR="00F96FF2">
        <w:rPr>
          <w:rFonts w:ascii="Arial" w:eastAsia="Arial" w:hAnsi="Arial" w:cs="Arial"/>
          <w:sz w:val="20"/>
          <w:szCs w:val="20"/>
        </w:rPr>
        <w:t xml:space="preserve"> mitzunehmen </w:t>
      </w:r>
      <w:r w:rsidRPr="00B26EA6">
        <w:rPr>
          <w:rFonts w:ascii="Arial" w:eastAsia="Arial" w:hAnsi="Arial" w:cs="Arial"/>
          <w:sz w:val="20"/>
          <w:szCs w:val="20"/>
        </w:rPr>
        <w:t>oder</w:t>
      </w:r>
    </w:p>
    <w:p w14:paraId="6EA1B570" w14:textId="77777777" w:rsidR="006F0AC8" w:rsidRPr="00B26EA6" w:rsidRDefault="006F0AC8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27690E1F" w14:textId="796D11E3" w:rsidR="006F0AC8" w:rsidRPr="00B26EA6" w:rsidRDefault="006F0AC8" w:rsidP="00BC7BE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B26EA6">
        <w:rPr>
          <w:rFonts w:ascii="Arial" w:eastAsia="Arial" w:hAnsi="Arial" w:cs="Arial"/>
          <w:sz w:val="20"/>
          <w:szCs w:val="20"/>
        </w:rPr>
        <w:t>die gegenüber dem 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B26EA6">
        <w:rPr>
          <w:rFonts w:ascii="Arial" w:eastAsia="Arial" w:hAnsi="Arial" w:cs="Arial"/>
          <w:sz w:val="20"/>
          <w:szCs w:val="20"/>
        </w:rPr>
        <w:t xml:space="preserve"> erklärte Vollmacht zur </w:t>
      </w:r>
      <w:r w:rsidR="007E743E">
        <w:rPr>
          <w:rFonts w:ascii="Arial" w:eastAsia="Arial" w:hAnsi="Arial" w:cs="Arial"/>
          <w:sz w:val="20"/>
          <w:szCs w:val="20"/>
        </w:rPr>
        <w:t xml:space="preserve">Erklärung der </w:t>
      </w:r>
      <w:r w:rsidRPr="00B26EA6">
        <w:rPr>
          <w:rFonts w:ascii="Arial" w:eastAsia="Arial" w:hAnsi="Arial" w:cs="Arial"/>
          <w:sz w:val="20"/>
          <w:szCs w:val="20"/>
        </w:rPr>
        <w:t>Kündigung des Vertrages zwischen dem Endkunden und dem EPK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B26EA6">
        <w:rPr>
          <w:rFonts w:ascii="Arial" w:eastAsia="Arial" w:hAnsi="Arial" w:cs="Arial"/>
          <w:sz w:val="20"/>
          <w:szCs w:val="20"/>
        </w:rPr>
        <w:t xml:space="preserve"> über die Anschlussleistung und, soweit gewünscht, die </w:t>
      </w:r>
      <w:r w:rsidR="0046208A" w:rsidRPr="00B26EA6">
        <w:rPr>
          <w:rFonts w:ascii="Arial" w:eastAsia="Arial" w:hAnsi="Arial" w:cs="Arial"/>
          <w:sz w:val="20"/>
          <w:szCs w:val="20"/>
        </w:rPr>
        <w:t>gegenüber dem 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="0046208A" w:rsidRPr="00B26EA6">
        <w:rPr>
          <w:rFonts w:ascii="Arial" w:eastAsia="Arial" w:hAnsi="Arial" w:cs="Arial"/>
          <w:sz w:val="20"/>
          <w:szCs w:val="20"/>
        </w:rPr>
        <w:t xml:space="preserve"> erklärte </w:t>
      </w:r>
      <w:r w:rsidR="0046208A" w:rsidRPr="00BC7BE2">
        <w:rPr>
          <w:rFonts w:ascii="Arial" w:eastAsia="Arial" w:hAnsi="Arial" w:cs="Arial"/>
          <w:sz w:val="20"/>
          <w:szCs w:val="20"/>
        </w:rPr>
        <w:t xml:space="preserve">Vollmacht, die </w:t>
      </w:r>
      <w:r w:rsidR="00F96FF2">
        <w:rPr>
          <w:rFonts w:ascii="Arial" w:eastAsia="Arial" w:hAnsi="Arial" w:cs="Arial"/>
          <w:sz w:val="20"/>
          <w:szCs w:val="20"/>
        </w:rPr>
        <w:t>Mitnahme</w:t>
      </w:r>
      <w:r w:rsidR="002E3D6D">
        <w:rPr>
          <w:rFonts w:ascii="Arial" w:eastAsia="Arial" w:hAnsi="Arial" w:cs="Arial"/>
          <w:sz w:val="20"/>
          <w:szCs w:val="20"/>
        </w:rPr>
        <w:t xml:space="preserve"> </w:t>
      </w:r>
      <w:r w:rsidR="007E743E">
        <w:rPr>
          <w:rFonts w:ascii="Arial" w:eastAsia="Arial" w:hAnsi="Arial" w:cs="Arial"/>
          <w:sz w:val="20"/>
          <w:szCs w:val="20"/>
        </w:rPr>
        <w:t xml:space="preserve">der dem Endkunden zugeteilten </w:t>
      </w:r>
      <w:r w:rsidR="0046208A" w:rsidRPr="00B26EA6">
        <w:rPr>
          <w:rFonts w:ascii="Arial" w:eastAsia="Arial" w:hAnsi="Arial" w:cs="Arial"/>
          <w:sz w:val="20"/>
          <w:szCs w:val="20"/>
        </w:rPr>
        <w:t>Rufnummer</w:t>
      </w:r>
      <w:r w:rsidR="007E743E">
        <w:rPr>
          <w:rFonts w:ascii="Arial" w:eastAsia="Arial" w:hAnsi="Arial" w:cs="Arial"/>
          <w:sz w:val="20"/>
          <w:szCs w:val="20"/>
        </w:rPr>
        <w:t>n</w:t>
      </w:r>
      <w:r w:rsidR="0046208A" w:rsidRPr="00B26EA6">
        <w:rPr>
          <w:rFonts w:ascii="Arial" w:eastAsia="Arial" w:hAnsi="Arial" w:cs="Arial"/>
          <w:sz w:val="20"/>
          <w:szCs w:val="20"/>
        </w:rPr>
        <w:t xml:space="preserve"> beim EKPabg zu beauftragen.</w:t>
      </w:r>
    </w:p>
    <w:p w14:paraId="6EBCE636" w14:textId="77777777" w:rsidR="0046208A" w:rsidRDefault="0046208A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568DCBA7" w14:textId="77777777" w:rsidR="00422900" w:rsidRPr="00146C67" w:rsidRDefault="0046208A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146C67">
        <w:rPr>
          <w:rFonts w:ascii="Arial" w:hAnsi="Arial" w:cs="Arial"/>
          <w:sz w:val="20"/>
          <w:szCs w:val="20"/>
        </w:rPr>
        <w:t xml:space="preserve">Eine </w:t>
      </w:r>
      <w:r w:rsidRPr="00146C67">
        <w:rPr>
          <w:rFonts w:ascii="Arial" w:hAnsi="Arial" w:cs="Arial"/>
          <w:b/>
          <w:sz w:val="20"/>
          <w:szCs w:val="20"/>
        </w:rPr>
        <w:t>formgerechte Endkundenerklärung</w:t>
      </w:r>
      <w:r w:rsidRPr="00146C67">
        <w:rPr>
          <w:rFonts w:ascii="Arial" w:hAnsi="Arial" w:cs="Arial"/>
          <w:sz w:val="20"/>
          <w:szCs w:val="20"/>
        </w:rPr>
        <w:t xml:space="preserve"> </w:t>
      </w:r>
      <w:r w:rsidR="007E743E" w:rsidRPr="00146C67">
        <w:rPr>
          <w:rFonts w:ascii="Arial" w:hAnsi="Arial" w:cs="Arial"/>
          <w:sz w:val="20"/>
          <w:szCs w:val="20"/>
        </w:rPr>
        <w:t xml:space="preserve">im Sinne dieser Vereinbarung </w:t>
      </w:r>
      <w:r w:rsidRPr="00146C67">
        <w:rPr>
          <w:rFonts w:ascii="Arial" w:hAnsi="Arial" w:cs="Arial"/>
          <w:sz w:val="20"/>
          <w:szCs w:val="20"/>
        </w:rPr>
        <w:t>ist eine Endkundenerklärun</w:t>
      </w:r>
      <w:r w:rsidR="00422900" w:rsidRPr="00146C67">
        <w:rPr>
          <w:rFonts w:ascii="Arial" w:hAnsi="Arial" w:cs="Arial"/>
          <w:sz w:val="20"/>
          <w:szCs w:val="20"/>
        </w:rPr>
        <w:t xml:space="preserve">g, die mindestens die Textform im Sinne des </w:t>
      </w:r>
      <w:r w:rsidRPr="00146C67">
        <w:rPr>
          <w:rFonts w:ascii="Arial" w:hAnsi="Arial" w:cs="Arial"/>
          <w:sz w:val="20"/>
          <w:szCs w:val="20"/>
        </w:rPr>
        <w:t>§</w:t>
      </w:r>
      <w:r w:rsidR="00422900" w:rsidRPr="00146C67">
        <w:rPr>
          <w:rFonts w:ascii="Arial" w:hAnsi="Arial" w:cs="Arial"/>
          <w:sz w:val="20"/>
          <w:szCs w:val="20"/>
        </w:rPr>
        <w:t> </w:t>
      </w:r>
      <w:r w:rsidRPr="00146C67">
        <w:rPr>
          <w:rFonts w:ascii="Arial" w:hAnsi="Arial" w:cs="Arial"/>
          <w:sz w:val="20"/>
          <w:szCs w:val="20"/>
        </w:rPr>
        <w:t xml:space="preserve">126b BGB einhält. Beispiele für formgerechte Endkundenerklärungen sind Endkundenerklärungen </w:t>
      </w:r>
    </w:p>
    <w:p w14:paraId="0A1B77BC" w14:textId="77777777" w:rsidR="00422900" w:rsidRPr="00146C67" w:rsidRDefault="00422900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0F4F5D48" w14:textId="0D1C19EE" w:rsidR="00422900" w:rsidRPr="00146C67" w:rsidRDefault="00422900" w:rsidP="00B26EA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146C67">
        <w:rPr>
          <w:rFonts w:ascii="Arial" w:eastAsia="Arial" w:hAnsi="Arial" w:cs="Arial"/>
          <w:sz w:val="20"/>
          <w:szCs w:val="20"/>
        </w:rPr>
        <w:t>auf Papierauftragsformularen,</w:t>
      </w:r>
    </w:p>
    <w:p w14:paraId="2A66EC09" w14:textId="77777777" w:rsidR="00422900" w:rsidRPr="00146C67" w:rsidRDefault="00422900" w:rsidP="00B26EA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146C67">
        <w:rPr>
          <w:rFonts w:ascii="Arial" w:eastAsia="Arial" w:hAnsi="Arial" w:cs="Arial"/>
          <w:sz w:val="20"/>
          <w:szCs w:val="20"/>
        </w:rPr>
        <w:t xml:space="preserve">per Brief, </w:t>
      </w:r>
    </w:p>
    <w:p w14:paraId="60E05001" w14:textId="77777777" w:rsidR="00422900" w:rsidRPr="00146C67" w:rsidRDefault="0046208A" w:rsidP="00B26EA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146C67">
        <w:rPr>
          <w:rFonts w:ascii="Arial" w:eastAsia="Arial" w:hAnsi="Arial" w:cs="Arial"/>
          <w:sz w:val="20"/>
          <w:szCs w:val="20"/>
        </w:rPr>
        <w:t xml:space="preserve">per Telefax, </w:t>
      </w:r>
    </w:p>
    <w:p w14:paraId="3AAE4D86" w14:textId="77777777" w:rsidR="00422900" w:rsidRPr="00146C67" w:rsidRDefault="00CA5D90" w:rsidP="00B26EA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146C67">
        <w:rPr>
          <w:rFonts w:ascii="Arial" w:eastAsia="Arial" w:hAnsi="Arial" w:cs="Arial"/>
          <w:sz w:val="20"/>
          <w:szCs w:val="20"/>
        </w:rPr>
        <w:t xml:space="preserve">per </w:t>
      </w:r>
      <w:r w:rsidR="0046208A" w:rsidRPr="00146C67">
        <w:rPr>
          <w:rFonts w:ascii="Arial" w:eastAsia="Arial" w:hAnsi="Arial" w:cs="Arial"/>
          <w:sz w:val="20"/>
          <w:szCs w:val="20"/>
        </w:rPr>
        <w:t xml:space="preserve">E-Mail oder </w:t>
      </w:r>
    </w:p>
    <w:p w14:paraId="4DF9D971" w14:textId="54A7759A" w:rsidR="009961A0" w:rsidRPr="00146C67" w:rsidRDefault="00A62F08" w:rsidP="007F477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146C67">
        <w:rPr>
          <w:rFonts w:ascii="Arial" w:eastAsia="Arial" w:hAnsi="Arial" w:cs="Arial"/>
          <w:sz w:val="20"/>
          <w:szCs w:val="20"/>
        </w:rPr>
        <w:t>e</w:t>
      </w:r>
      <w:r w:rsidR="009961A0" w:rsidRPr="00146C67">
        <w:rPr>
          <w:rFonts w:ascii="Arial" w:eastAsia="Arial" w:hAnsi="Arial" w:cs="Arial"/>
          <w:sz w:val="20"/>
          <w:szCs w:val="20"/>
        </w:rPr>
        <w:t xml:space="preserve">in vom </w:t>
      </w:r>
      <w:r w:rsidR="002F6B3A" w:rsidRPr="00146C67">
        <w:rPr>
          <w:rFonts w:ascii="Arial" w:eastAsia="Arial" w:hAnsi="Arial" w:cs="Arial"/>
          <w:sz w:val="20"/>
          <w:szCs w:val="20"/>
        </w:rPr>
        <w:t xml:space="preserve">Kunden digital </w:t>
      </w:r>
      <w:r w:rsidR="009961A0" w:rsidRPr="00146C67">
        <w:rPr>
          <w:rFonts w:ascii="Arial" w:eastAsia="Arial" w:hAnsi="Arial" w:cs="Arial"/>
          <w:sz w:val="20"/>
          <w:szCs w:val="20"/>
        </w:rPr>
        <w:t>generiertes Formular (Auftrag)</w:t>
      </w:r>
      <w:r w:rsidR="00383849" w:rsidRPr="00146C67">
        <w:rPr>
          <w:rFonts w:ascii="Arial" w:eastAsia="Arial" w:hAnsi="Arial" w:cs="Arial"/>
          <w:sz w:val="20"/>
          <w:szCs w:val="20"/>
        </w:rPr>
        <w:t xml:space="preserve">, </w:t>
      </w:r>
      <w:r w:rsidR="00146C67" w:rsidRPr="00146C67">
        <w:rPr>
          <w:rFonts w:ascii="Arial" w:eastAsia="Arial" w:hAnsi="Arial" w:cs="Arial"/>
          <w:sz w:val="20"/>
          <w:szCs w:val="20"/>
        </w:rPr>
        <w:t>das</w:t>
      </w:r>
      <w:r w:rsidR="00383849" w:rsidRPr="00146C67">
        <w:rPr>
          <w:rFonts w:ascii="Arial" w:eastAsia="Arial" w:hAnsi="Arial" w:cs="Arial"/>
          <w:sz w:val="20"/>
          <w:szCs w:val="20"/>
        </w:rPr>
        <w:t xml:space="preserve"> den Anforderungen des § 126b BGB entspricht.</w:t>
      </w:r>
    </w:p>
    <w:p w14:paraId="2AB4576B" w14:textId="77777777" w:rsidR="0046208A" w:rsidRPr="002D2922" w:rsidRDefault="0046208A" w:rsidP="00F94D0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52D3B965" w14:textId="77777777" w:rsidR="00F94D05" w:rsidRPr="002D2922" w:rsidRDefault="00F94D05" w:rsidP="00F94D05">
      <w:pPr>
        <w:rPr>
          <w:rFonts w:ascii="Arial" w:hAnsi="Arial" w:cs="Arial"/>
          <w:sz w:val="20"/>
          <w:szCs w:val="20"/>
        </w:rPr>
      </w:pPr>
    </w:p>
    <w:p w14:paraId="1F7C2C36" w14:textId="77777777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  <w:t>Sind die Vertragspart</w:t>
      </w:r>
      <w:r w:rsidR="00E64AC8">
        <w:rPr>
          <w:rFonts w:ascii="Arial" w:eastAsia="Arial" w:hAnsi="Arial" w:cs="Arial"/>
          <w:sz w:val="20"/>
          <w:szCs w:val="20"/>
        </w:rPr>
        <w:t>eien</w:t>
      </w:r>
      <w:r w:rsidRPr="002D2922">
        <w:rPr>
          <w:rFonts w:ascii="Arial" w:eastAsia="Arial" w:hAnsi="Arial" w:cs="Arial"/>
          <w:sz w:val="20"/>
          <w:szCs w:val="20"/>
        </w:rPr>
        <w:t xml:space="preserve"> zusammen an einem Anbieterwechsel beteiligt, gelten zur Vereinfachung der Abwicklung die nachstehenden Grundsätze:</w:t>
      </w:r>
    </w:p>
    <w:p w14:paraId="79B8E942" w14:textId="68541D0F" w:rsidR="00F94D05" w:rsidRPr="002D2922" w:rsidRDefault="00F94D05" w:rsidP="00F94D05">
      <w:pPr>
        <w:ind w:left="964" w:hanging="397"/>
        <w:jc w:val="both"/>
        <w:rPr>
          <w:rFonts w:ascii="Arial" w:eastAsia="Arial" w:hAnsi="Arial" w:cs="Arial"/>
          <w:sz w:val="20"/>
          <w:szCs w:val="20"/>
        </w:rPr>
      </w:pPr>
      <w:r w:rsidRPr="002D2922">
        <w:rPr>
          <w:rFonts w:ascii="Arial" w:eastAsia="Arial" w:hAnsi="Arial" w:cs="Arial"/>
          <w:sz w:val="20"/>
          <w:szCs w:val="20"/>
        </w:rPr>
        <w:t>-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Die </w:t>
      </w:r>
      <w:r w:rsidR="00E64AC8">
        <w:rPr>
          <w:rFonts w:ascii="Arial" w:eastAsia="Arial" w:hAnsi="Arial" w:cs="Arial"/>
          <w:sz w:val="20"/>
          <w:szCs w:val="20"/>
        </w:rPr>
        <w:t>Vertragsparteien</w:t>
      </w:r>
      <w:r w:rsidRPr="002D2922">
        <w:rPr>
          <w:rFonts w:ascii="Arial" w:eastAsia="Arial" w:hAnsi="Arial" w:cs="Arial"/>
          <w:sz w:val="20"/>
          <w:szCs w:val="20"/>
        </w:rPr>
        <w:t xml:space="preserve"> verstehen als 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die elektronisch übermittelte Anfrage des 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im Rahmen der Vorabstimmung gleichzeitig als Übermittlung der </w:t>
      </w:r>
      <w:r w:rsidR="0046208A">
        <w:rPr>
          <w:rFonts w:ascii="Arial" w:eastAsia="Arial" w:hAnsi="Arial" w:cs="Arial"/>
          <w:sz w:val="20"/>
          <w:szCs w:val="20"/>
        </w:rPr>
        <w:t>Endkundenerklärung</w:t>
      </w:r>
      <w:r w:rsidRPr="002D2922">
        <w:rPr>
          <w:rFonts w:ascii="Arial" w:eastAsia="Arial" w:hAnsi="Arial" w:cs="Arial"/>
          <w:sz w:val="20"/>
          <w:szCs w:val="20"/>
        </w:rPr>
        <w:t xml:space="preserve">. </w:t>
      </w:r>
    </w:p>
    <w:p w14:paraId="45D97A6B" w14:textId="7E5E56A5" w:rsidR="00DE03F8" w:rsidRPr="00FD230D" w:rsidRDefault="00F94D05" w:rsidP="00F94D05">
      <w:pPr>
        <w:spacing w:after="60"/>
        <w:ind w:left="964" w:hanging="397"/>
        <w:jc w:val="both"/>
        <w:rPr>
          <w:rFonts w:ascii="Arial" w:eastAsia="Arial" w:hAnsi="Arial" w:cs="Arial"/>
          <w:sz w:val="20"/>
          <w:szCs w:val="20"/>
        </w:rPr>
      </w:pPr>
      <w:r w:rsidRPr="002D2922">
        <w:rPr>
          <w:rFonts w:ascii="Arial" w:eastAsia="Arial" w:hAnsi="Arial" w:cs="Arial"/>
          <w:sz w:val="20"/>
          <w:szCs w:val="20"/>
        </w:rPr>
        <w:t>-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Die </w:t>
      </w:r>
      <w:r w:rsidR="00E64AC8">
        <w:rPr>
          <w:rFonts w:ascii="Arial" w:eastAsia="Arial" w:hAnsi="Arial" w:cs="Arial"/>
          <w:sz w:val="20"/>
          <w:szCs w:val="20"/>
        </w:rPr>
        <w:t>Vertragsparteien</w:t>
      </w:r>
      <w:r w:rsidRPr="002D2922">
        <w:rPr>
          <w:rFonts w:ascii="Arial" w:eastAsia="Arial" w:hAnsi="Arial" w:cs="Arial"/>
          <w:sz w:val="20"/>
          <w:szCs w:val="20"/>
        </w:rPr>
        <w:t xml:space="preserve"> verzichten als </w:t>
      </w:r>
      <w:r w:rsidR="00A90604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grundsätzlich darauf, die Vorlage der </w:t>
      </w:r>
      <w:r w:rsidR="0046208A">
        <w:rPr>
          <w:rFonts w:ascii="Arial" w:eastAsia="Arial" w:hAnsi="Arial" w:cs="Arial"/>
          <w:sz w:val="20"/>
          <w:szCs w:val="20"/>
        </w:rPr>
        <w:t>formgerechten Endkundenerklärung</w:t>
      </w:r>
      <w:r w:rsidRPr="002D2922">
        <w:rPr>
          <w:rFonts w:ascii="Arial" w:eastAsia="Arial" w:hAnsi="Arial" w:cs="Arial"/>
          <w:sz w:val="20"/>
          <w:szCs w:val="20"/>
        </w:rPr>
        <w:t xml:space="preserve"> zu verlangen. Sie schalten daher im </w:t>
      </w:r>
      <w:r w:rsidRPr="00652A8F">
        <w:rPr>
          <w:rFonts w:ascii="Arial" w:eastAsia="Arial" w:hAnsi="Arial" w:cs="Arial"/>
          <w:color w:val="auto"/>
          <w:sz w:val="20"/>
          <w:szCs w:val="20"/>
        </w:rPr>
        <w:t xml:space="preserve">Vertrauen darauf, dass die </w:t>
      </w:r>
      <w:r w:rsidR="0046208A">
        <w:rPr>
          <w:rFonts w:ascii="Arial" w:eastAsia="Arial" w:hAnsi="Arial" w:cs="Arial"/>
          <w:color w:val="auto"/>
          <w:sz w:val="20"/>
          <w:szCs w:val="20"/>
        </w:rPr>
        <w:t xml:space="preserve">formgerechten </w:t>
      </w:r>
      <w:r w:rsidRPr="00D876AD">
        <w:rPr>
          <w:rFonts w:ascii="Arial" w:eastAsia="Arial" w:hAnsi="Arial" w:cs="Arial"/>
          <w:color w:val="auto"/>
          <w:sz w:val="20"/>
          <w:szCs w:val="20"/>
        </w:rPr>
        <w:t>Endkundenerklärungen</w:t>
      </w:r>
      <w:r w:rsidRPr="00652A8F">
        <w:rPr>
          <w:rFonts w:ascii="Arial" w:eastAsia="Arial" w:hAnsi="Arial" w:cs="Arial"/>
          <w:color w:val="auto"/>
          <w:sz w:val="20"/>
          <w:szCs w:val="20"/>
        </w:rPr>
        <w:t xml:space="preserve"> vorliegen</w:t>
      </w:r>
      <w:r w:rsidR="00A90604" w:rsidRPr="00652A8F">
        <w:rPr>
          <w:rFonts w:ascii="Arial" w:eastAsia="Arial" w:hAnsi="Arial" w:cs="Arial"/>
          <w:color w:val="auto"/>
          <w:sz w:val="20"/>
          <w:szCs w:val="20"/>
        </w:rPr>
        <w:t>,</w:t>
      </w:r>
      <w:r w:rsidRPr="00652A8F">
        <w:rPr>
          <w:rFonts w:ascii="Arial" w:eastAsia="Arial" w:hAnsi="Arial" w:cs="Arial"/>
          <w:color w:val="auto"/>
          <w:sz w:val="20"/>
          <w:szCs w:val="20"/>
        </w:rPr>
        <w:t xml:space="preserve"> den Anschluss des Endkunden ab, sofern und sobald dies nach den jeweiligen Vertragsbedingungen über den Anschluss und nach den gesetzlichen Bestimmungen zulässig ist, und/oder veranlassen gegebenenfalls die Rufnummernübertragung</w:t>
      </w:r>
      <w:r w:rsidR="00FD230D" w:rsidRPr="00652A8F">
        <w:rPr>
          <w:rFonts w:ascii="Arial" w:hAnsi="Arial" w:cs="Arial"/>
          <w:iCs/>
          <w:color w:val="auto"/>
          <w:sz w:val="20"/>
          <w:szCs w:val="20"/>
        </w:rPr>
        <w:t>.</w:t>
      </w:r>
    </w:p>
    <w:p w14:paraId="433A3503" w14:textId="17ADA3E1" w:rsidR="00F94D05" w:rsidRDefault="00DE03F8" w:rsidP="00F94D05">
      <w:pPr>
        <w:spacing w:after="60"/>
        <w:ind w:left="964" w:hanging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 w:rsidR="00F94D05" w:rsidRPr="002D2922">
        <w:rPr>
          <w:rFonts w:ascii="Arial" w:eastAsia="Arial" w:hAnsi="Arial" w:cs="Arial"/>
          <w:sz w:val="20"/>
          <w:szCs w:val="20"/>
        </w:rPr>
        <w:t xml:space="preserve">Der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="00F94D05" w:rsidRPr="002D2922">
        <w:rPr>
          <w:rFonts w:ascii="Arial" w:eastAsia="Arial" w:hAnsi="Arial" w:cs="Arial"/>
          <w:sz w:val="20"/>
          <w:szCs w:val="20"/>
        </w:rPr>
        <w:t xml:space="preserve"> lehnt den Anbieterwechsel und/oder die Rufnummernportierung nicht mit der Begründung ab, dass ihm die Endkundenerklärung schon </w:t>
      </w:r>
      <w:r w:rsidR="00824500" w:rsidRPr="002D2922">
        <w:rPr>
          <w:rFonts w:ascii="Arial" w:eastAsia="Arial" w:hAnsi="Arial" w:cs="Arial"/>
          <w:sz w:val="20"/>
          <w:szCs w:val="20"/>
        </w:rPr>
        <w:t>vorliegt</w:t>
      </w:r>
      <w:r w:rsidR="00F94D05" w:rsidRPr="002D2922">
        <w:rPr>
          <w:rFonts w:ascii="Arial" w:eastAsia="Arial" w:hAnsi="Arial" w:cs="Arial"/>
          <w:sz w:val="20"/>
          <w:szCs w:val="20"/>
        </w:rPr>
        <w:t>.</w:t>
      </w:r>
    </w:p>
    <w:p w14:paraId="2B107B46" w14:textId="77777777" w:rsidR="00F94D05" w:rsidRPr="002D2922" w:rsidRDefault="00F94D05" w:rsidP="00DE03F8">
      <w:pPr>
        <w:spacing w:after="60"/>
        <w:jc w:val="both"/>
        <w:rPr>
          <w:rFonts w:ascii="Arial" w:eastAsia="Arial" w:hAnsi="Arial" w:cs="Arial"/>
          <w:sz w:val="20"/>
          <w:szCs w:val="20"/>
        </w:rPr>
      </w:pPr>
    </w:p>
    <w:p w14:paraId="3255F556" w14:textId="79F5D7E7" w:rsidR="00146C67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Pr="002D2922">
        <w:rPr>
          <w:rFonts w:ascii="Arial" w:eastAsia="Arial" w:hAnsi="Arial" w:cs="Arial"/>
          <w:sz w:val="20"/>
          <w:szCs w:val="20"/>
        </w:rPr>
        <w:t>.2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Sofern zwischen den </w:t>
      </w:r>
      <w:r w:rsidR="00E64AC8">
        <w:rPr>
          <w:rFonts w:ascii="Arial" w:eastAsia="Arial" w:hAnsi="Arial" w:cs="Arial"/>
          <w:sz w:val="20"/>
          <w:szCs w:val="20"/>
        </w:rPr>
        <w:t>Vertragsparteien</w:t>
      </w:r>
      <w:r w:rsidRPr="002D2922">
        <w:rPr>
          <w:rFonts w:ascii="Arial" w:eastAsia="Arial" w:hAnsi="Arial" w:cs="Arial"/>
          <w:sz w:val="20"/>
          <w:szCs w:val="20"/>
        </w:rPr>
        <w:t xml:space="preserve"> eine Vereinbarung zur elektronischen Übermittlung von Auftragsdaten zu Rufnummernportierung besteht (Portierungsvereinbarung), ersetzt diese Vereinbarung die vorgenannte Portierungsvereinbarung. </w:t>
      </w:r>
    </w:p>
    <w:p w14:paraId="6768A3D7" w14:textId="77777777" w:rsidR="00146C67" w:rsidRDefault="00146C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6B1B3F8" w14:textId="77777777" w:rsidR="00F94D05" w:rsidRPr="00DE03F8" w:rsidRDefault="00F94D05" w:rsidP="00A62F08">
      <w:pPr>
        <w:pStyle w:val="berschrift1"/>
        <w:keepNext/>
        <w:ind w:left="0" w:firstLine="0"/>
        <w:rPr>
          <w:sz w:val="20"/>
          <w:szCs w:val="20"/>
        </w:rPr>
      </w:pPr>
      <w:r w:rsidRPr="00DE03F8">
        <w:rPr>
          <w:sz w:val="20"/>
          <w:szCs w:val="20"/>
        </w:rPr>
        <w:lastRenderedPageBreak/>
        <w:t>2.</w:t>
      </w:r>
      <w:r w:rsidRPr="00DE03F8">
        <w:rPr>
          <w:sz w:val="20"/>
          <w:szCs w:val="20"/>
        </w:rPr>
        <w:tab/>
        <w:t xml:space="preserve">Pflichten der </w:t>
      </w:r>
      <w:r w:rsidR="00E64AC8" w:rsidRPr="00DE03F8">
        <w:rPr>
          <w:sz w:val="20"/>
          <w:szCs w:val="20"/>
        </w:rPr>
        <w:t>Vertragsparteien</w:t>
      </w:r>
      <w:r w:rsidRPr="00DE03F8">
        <w:rPr>
          <w:sz w:val="20"/>
          <w:szCs w:val="20"/>
        </w:rPr>
        <w:t xml:space="preserve"> als aufnehmender Anbieter - Übermittlung</w:t>
      </w:r>
    </w:p>
    <w:p w14:paraId="0A51EEC3" w14:textId="7DEBC25B" w:rsidR="00F94D05" w:rsidRPr="002D2922" w:rsidRDefault="00F94D05" w:rsidP="00A62F08">
      <w:pPr>
        <w:keepNext/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Mit der Übermittlung der Anfrage sichert der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dem </w:t>
      </w:r>
      <w:r w:rsidR="00A90604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zu, dass sämtliche zur Abwicklung des Anbieterwechsels und </w:t>
      </w:r>
      <w:r w:rsidR="00987362">
        <w:rPr>
          <w:rFonts w:ascii="Arial" w:eastAsia="Arial" w:hAnsi="Arial" w:cs="Arial"/>
          <w:sz w:val="20"/>
          <w:szCs w:val="20"/>
        </w:rPr>
        <w:t>–</w:t>
      </w:r>
      <w:r w:rsidRPr="002D2922">
        <w:rPr>
          <w:rFonts w:ascii="Arial" w:eastAsia="Arial" w:hAnsi="Arial" w:cs="Arial"/>
          <w:sz w:val="20"/>
          <w:szCs w:val="20"/>
        </w:rPr>
        <w:t xml:space="preserve"> sofern gewünscht </w:t>
      </w:r>
      <w:r w:rsidR="00987362">
        <w:rPr>
          <w:rFonts w:ascii="Arial" w:eastAsia="Arial" w:hAnsi="Arial" w:cs="Arial"/>
          <w:sz w:val="20"/>
          <w:szCs w:val="20"/>
        </w:rPr>
        <w:t>–</w:t>
      </w:r>
      <w:r w:rsidRPr="002D2922">
        <w:rPr>
          <w:rFonts w:ascii="Arial" w:eastAsia="Arial" w:hAnsi="Arial" w:cs="Arial"/>
          <w:sz w:val="20"/>
          <w:szCs w:val="20"/>
        </w:rPr>
        <w:t xml:space="preserve"> </w:t>
      </w:r>
      <w:r w:rsidR="00377058">
        <w:rPr>
          <w:rFonts w:ascii="Arial" w:eastAsia="Arial" w:hAnsi="Arial" w:cs="Arial"/>
          <w:sz w:val="20"/>
          <w:szCs w:val="20"/>
        </w:rPr>
        <w:t xml:space="preserve">zur </w:t>
      </w:r>
      <w:r w:rsidRPr="002D2922">
        <w:rPr>
          <w:rFonts w:ascii="Arial" w:eastAsia="Arial" w:hAnsi="Arial" w:cs="Arial"/>
          <w:sz w:val="20"/>
          <w:szCs w:val="20"/>
        </w:rPr>
        <w:t>Rufnummernübertragung rechtlich erforderlichen Erklärungen des Endkunden vorliegen.</w:t>
      </w:r>
    </w:p>
    <w:p w14:paraId="04417520" w14:textId="588C0B34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2D2922">
        <w:rPr>
          <w:rFonts w:ascii="Arial" w:eastAsia="Arial" w:hAnsi="Arial" w:cs="Arial"/>
          <w:sz w:val="20"/>
          <w:szCs w:val="20"/>
        </w:rPr>
        <w:t>.2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sichert dem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insbesondere zu, dass ihm eine </w:t>
      </w:r>
      <w:r w:rsidR="009E1EB4">
        <w:rPr>
          <w:rFonts w:ascii="Arial" w:eastAsia="Arial" w:hAnsi="Arial" w:cs="Arial"/>
          <w:sz w:val="20"/>
          <w:szCs w:val="20"/>
        </w:rPr>
        <w:t>formgerechte Endkundene</w:t>
      </w:r>
      <w:r w:rsidRPr="002D2922">
        <w:rPr>
          <w:rFonts w:ascii="Arial" w:eastAsia="Arial" w:hAnsi="Arial" w:cs="Arial"/>
          <w:sz w:val="20"/>
          <w:szCs w:val="20"/>
        </w:rPr>
        <w:t xml:space="preserve">rklärung vorliegt. </w:t>
      </w:r>
    </w:p>
    <w:p w14:paraId="5E370EA3" w14:textId="1DCE913E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2D2922">
        <w:rPr>
          <w:rFonts w:ascii="Arial" w:eastAsia="Arial" w:hAnsi="Arial" w:cs="Arial"/>
          <w:sz w:val="20"/>
          <w:szCs w:val="20"/>
        </w:rPr>
        <w:t>.3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sichert dem </w:t>
      </w:r>
      <w:r w:rsidR="00226721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zu, dass der Endkunde damit einverstanden ist, dass die Leistung weiterhin vom </w:t>
      </w:r>
      <w:r w:rsidR="007D7614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erbracht wird, bis der neue Anschluss bereitgestellt ist bzw. die Rufnummernübertragung erfolgreich vorgenommen werden konnte. Dies gilt nicht, wenn der Endkunde </w:t>
      </w:r>
      <w:bookmarkStart w:id="0" w:name="_GoBack"/>
      <w:bookmarkEnd w:id="0"/>
      <w:r w:rsidRPr="002D2922">
        <w:rPr>
          <w:rFonts w:ascii="Arial" w:eastAsia="Arial" w:hAnsi="Arial" w:cs="Arial"/>
          <w:sz w:val="20"/>
          <w:szCs w:val="20"/>
        </w:rPr>
        <w:t>eine Unterbrechung wünscht oder eine reine Rufnummernportierung beauftragt wurde.</w:t>
      </w:r>
    </w:p>
    <w:p w14:paraId="01395E08" w14:textId="258C07E0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2D2922">
        <w:rPr>
          <w:rFonts w:ascii="Arial" w:eastAsia="Arial" w:hAnsi="Arial" w:cs="Arial"/>
          <w:sz w:val="20"/>
          <w:szCs w:val="20"/>
        </w:rPr>
        <w:t>.4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Weiterhin verpflichtet sich der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, den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und den Endkunden unverzüglich zu informieren, wenn der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dem Endkunden den neuen Anschluss nicht zum mitgeteilten Ausführungstermin bereitstellen kann bzw. die Übertragung der Rufnummer nicht zum vereinbarten Zeitpunkt erfolgen kann.</w:t>
      </w:r>
    </w:p>
    <w:p w14:paraId="10D91214" w14:textId="77777777" w:rsidR="00F94D05" w:rsidRPr="002D2922" w:rsidRDefault="00F94D05" w:rsidP="00F94D05">
      <w:pPr>
        <w:spacing w:before="240" w:after="240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Pr="002D2922">
        <w:rPr>
          <w:rFonts w:ascii="Arial" w:eastAsia="Arial" w:hAnsi="Arial" w:cs="Arial"/>
          <w:b/>
          <w:bCs/>
          <w:sz w:val="20"/>
          <w:szCs w:val="20"/>
        </w:rPr>
        <w:t>.</w:t>
      </w:r>
      <w:r w:rsidRPr="002D2922">
        <w:rPr>
          <w:rFonts w:ascii="Arial" w:eastAsia="Arial" w:hAnsi="Arial" w:cs="Arial"/>
          <w:b/>
          <w:bCs/>
          <w:sz w:val="20"/>
          <w:szCs w:val="20"/>
        </w:rPr>
        <w:tab/>
        <w:t xml:space="preserve">Pflichten der </w:t>
      </w:r>
      <w:r w:rsidR="00E64AC8">
        <w:rPr>
          <w:rFonts w:ascii="Arial" w:eastAsia="Arial" w:hAnsi="Arial" w:cs="Arial"/>
          <w:b/>
          <w:bCs/>
          <w:sz w:val="20"/>
          <w:szCs w:val="20"/>
        </w:rPr>
        <w:t>Vertragsparteien</w:t>
      </w:r>
      <w:r w:rsidRPr="002D2922">
        <w:rPr>
          <w:rFonts w:ascii="Arial" w:eastAsia="Arial" w:hAnsi="Arial" w:cs="Arial"/>
          <w:b/>
          <w:bCs/>
          <w:sz w:val="20"/>
          <w:szCs w:val="20"/>
        </w:rPr>
        <w:t xml:space="preserve"> als aufnehmender Anbieter - Nachweis</w:t>
      </w:r>
    </w:p>
    <w:p w14:paraId="72975371" w14:textId="0816F252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</w:r>
      <w:r w:rsidRPr="00146C67">
        <w:rPr>
          <w:rFonts w:ascii="Arial" w:eastAsia="Arial" w:hAnsi="Arial" w:cs="Arial"/>
          <w:sz w:val="20"/>
          <w:szCs w:val="20"/>
        </w:rPr>
        <w:t xml:space="preserve">Der </w:t>
      </w:r>
      <w:r w:rsidR="00043D20" w:rsidRPr="00146C67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146C67">
        <w:rPr>
          <w:rFonts w:ascii="Arial" w:eastAsia="Arial" w:hAnsi="Arial" w:cs="Arial"/>
          <w:sz w:val="20"/>
          <w:szCs w:val="20"/>
        </w:rPr>
        <w:t xml:space="preserve"> weist gegenüber dem </w:t>
      </w:r>
      <w:r w:rsidR="00043D20" w:rsidRPr="00146C67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146C67">
        <w:rPr>
          <w:rFonts w:ascii="Arial" w:eastAsia="Arial" w:hAnsi="Arial" w:cs="Arial"/>
          <w:sz w:val="20"/>
          <w:szCs w:val="20"/>
        </w:rPr>
        <w:t xml:space="preserve"> auf dessen Verlangen hin </w:t>
      </w:r>
      <w:r w:rsidR="0046208A" w:rsidRPr="00146C67">
        <w:rPr>
          <w:rFonts w:ascii="Arial" w:eastAsia="Arial" w:hAnsi="Arial" w:cs="Arial"/>
          <w:sz w:val="20"/>
          <w:szCs w:val="20"/>
        </w:rPr>
        <w:t xml:space="preserve">das Vorliegen einer formgerechten Endkundenerklärung </w:t>
      </w:r>
      <w:r w:rsidRPr="00146C67">
        <w:rPr>
          <w:rFonts w:ascii="Arial" w:eastAsia="Arial" w:hAnsi="Arial" w:cs="Arial"/>
          <w:sz w:val="20"/>
          <w:szCs w:val="20"/>
        </w:rPr>
        <w:t>nach.</w:t>
      </w:r>
      <w:r w:rsidR="008E5C6C" w:rsidRPr="00146C67">
        <w:rPr>
          <w:rFonts w:ascii="Arial" w:eastAsia="Arial" w:hAnsi="Arial" w:cs="Arial"/>
          <w:sz w:val="20"/>
          <w:szCs w:val="20"/>
        </w:rPr>
        <w:t xml:space="preserve"> 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="008E5C6C" w:rsidRPr="00146C67">
        <w:rPr>
          <w:rFonts w:ascii="Arial" w:eastAsia="Arial" w:hAnsi="Arial" w:cs="Arial"/>
          <w:sz w:val="20"/>
          <w:szCs w:val="20"/>
        </w:rPr>
        <w:t xml:space="preserve"> kann diesen Nachweis bei Missbrauchsverdacht ab Eingang der Vorabstimmungsanfrage bis zu einer Frist von </w:t>
      </w:r>
      <w:r w:rsidR="007444FF" w:rsidRPr="00146C67">
        <w:rPr>
          <w:rFonts w:ascii="Arial" w:eastAsia="Arial" w:hAnsi="Arial" w:cs="Arial"/>
          <w:sz w:val="20"/>
          <w:szCs w:val="20"/>
        </w:rPr>
        <w:t xml:space="preserve">6 </w:t>
      </w:r>
      <w:r w:rsidR="008E5C6C" w:rsidRPr="00146C67">
        <w:rPr>
          <w:rFonts w:ascii="Arial" w:eastAsia="Arial" w:hAnsi="Arial" w:cs="Arial"/>
          <w:sz w:val="20"/>
          <w:szCs w:val="20"/>
        </w:rPr>
        <w:t xml:space="preserve"> Monaten fordern.</w:t>
      </w:r>
      <w:r w:rsidR="008E5C6C">
        <w:rPr>
          <w:rFonts w:ascii="Arial" w:eastAsia="Arial" w:hAnsi="Arial" w:cs="Arial"/>
          <w:sz w:val="20"/>
          <w:szCs w:val="20"/>
        </w:rPr>
        <w:t xml:space="preserve"> </w:t>
      </w:r>
    </w:p>
    <w:p w14:paraId="32691B03" w14:textId="413BFD8C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2D2922">
        <w:rPr>
          <w:rFonts w:ascii="Arial" w:eastAsia="Arial" w:hAnsi="Arial" w:cs="Arial"/>
          <w:sz w:val="20"/>
          <w:szCs w:val="20"/>
        </w:rPr>
        <w:t>.2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Nachweis muss dem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innerhalb von 48 Stunden ab dem Zugang des Nachweisverlangens zugehen. Wochenenden (Samstag und Sonntag) und bundeseinheitliche Feiertage werden auf die Frist nicht angerechnet.</w:t>
      </w:r>
    </w:p>
    <w:p w14:paraId="053E1530" w14:textId="735AF460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2D2922">
        <w:rPr>
          <w:rFonts w:ascii="Arial" w:eastAsia="Arial" w:hAnsi="Arial" w:cs="Arial"/>
          <w:sz w:val="20"/>
          <w:szCs w:val="20"/>
        </w:rPr>
        <w:t>.3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</w:t>
      </w:r>
      <w:r w:rsidR="00043D20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führt den Nachweis durch die Übermittlung der </w:t>
      </w:r>
      <w:r w:rsidR="006B0A5A">
        <w:rPr>
          <w:rFonts w:ascii="Arial" w:eastAsia="Arial" w:hAnsi="Arial" w:cs="Arial"/>
          <w:sz w:val="20"/>
          <w:szCs w:val="20"/>
        </w:rPr>
        <w:t xml:space="preserve">formgerechten </w:t>
      </w:r>
      <w:r w:rsidRPr="002D2922">
        <w:rPr>
          <w:rFonts w:ascii="Arial" w:eastAsia="Arial" w:hAnsi="Arial" w:cs="Arial"/>
          <w:sz w:val="20"/>
          <w:szCs w:val="20"/>
        </w:rPr>
        <w:t xml:space="preserve">Endkundenerklärung an den </w:t>
      </w:r>
      <w:r w:rsidR="007D7614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>.</w:t>
      </w:r>
    </w:p>
    <w:p w14:paraId="39BF96C6" w14:textId="213BAE8E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2D2922">
        <w:rPr>
          <w:rFonts w:ascii="Arial" w:eastAsia="Arial" w:hAnsi="Arial" w:cs="Arial"/>
          <w:sz w:val="20"/>
          <w:szCs w:val="20"/>
        </w:rPr>
        <w:t>.4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Die Übermittlung des Nachweisverlangens und der </w:t>
      </w:r>
      <w:r w:rsidR="006B0A5A">
        <w:rPr>
          <w:rFonts w:ascii="Arial" w:eastAsia="Arial" w:hAnsi="Arial" w:cs="Arial"/>
          <w:sz w:val="20"/>
          <w:szCs w:val="20"/>
        </w:rPr>
        <w:t xml:space="preserve">formgerechten </w:t>
      </w:r>
      <w:r w:rsidRPr="002D2922">
        <w:rPr>
          <w:rFonts w:ascii="Arial" w:eastAsia="Arial" w:hAnsi="Arial" w:cs="Arial"/>
          <w:sz w:val="20"/>
          <w:szCs w:val="20"/>
        </w:rPr>
        <w:t xml:space="preserve">Endkundenerklärung zwischen den Vertragspartnern erfolgt per Fax, als gescannte Datei per </w:t>
      </w:r>
      <w:r w:rsidR="00043D20" w:rsidRPr="002D2922">
        <w:rPr>
          <w:rFonts w:ascii="Arial" w:eastAsia="Arial" w:hAnsi="Arial" w:cs="Arial"/>
          <w:sz w:val="20"/>
          <w:szCs w:val="20"/>
        </w:rPr>
        <w:t>E</w:t>
      </w:r>
      <w:r w:rsidR="00043D20">
        <w:rPr>
          <w:rFonts w:ascii="Arial" w:eastAsia="Arial" w:hAnsi="Arial" w:cs="Arial"/>
          <w:sz w:val="20"/>
          <w:szCs w:val="20"/>
        </w:rPr>
        <w:t>-</w:t>
      </w:r>
      <w:r w:rsidRPr="002D2922">
        <w:rPr>
          <w:rFonts w:ascii="Arial" w:eastAsia="Arial" w:hAnsi="Arial" w:cs="Arial"/>
          <w:sz w:val="20"/>
          <w:szCs w:val="20"/>
        </w:rPr>
        <w:t>Mail oder als E-Mail.</w:t>
      </w:r>
    </w:p>
    <w:p w14:paraId="0607F696" w14:textId="77777777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2D2922">
        <w:rPr>
          <w:rFonts w:ascii="Arial" w:eastAsia="Arial" w:hAnsi="Arial" w:cs="Arial"/>
          <w:sz w:val="20"/>
          <w:szCs w:val="20"/>
        </w:rPr>
        <w:t>.5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Die </w:t>
      </w:r>
      <w:r w:rsidR="00E64AC8">
        <w:rPr>
          <w:rFonts w:ascii="Arial" w:eastAsia="Arial" w:hAnsi="Arial" w:cs="Arial"/>
          <w:sz w:val="20"/>
          <w:szCs w:val="20"/>
        </w:rPr>
        <w:t>Vertragsparteien</w:t>
      </w:r>
      <w:r w:rsidRPr="002D2922">
        <w:rPr>
          <w:rFonts w:ascii="Arial" w:eastAsia="Arial" w:hAnsi="Arial" w:cs="Arial"/>
          <w:sz w:val="20"/>
          <w:szCs w:val="20"/>
        </w:rPr>
        <w:t xml:space="preserve"> benennen einander jeweils eine für die Übermittlung verbindliche Fax-Nummer und </w:t>
      </w:r>
      <w:r w:rsidR="00043D20" w:rsidRPr="002D2922">
        <w:rPr>
          <w:rFonts w:ascii="Arial" w:eastAsia="Arial" w:hAnsi="Arial" w:cs="Arial"/>
          <w:sz w:val="20"/>
          <w:szCs w:val="20"/>
        </w:rPr>
        <w:t>E</w:t>
      </w:r>
      <w:r w:rsidR="00043D20">
        <w:rPr>
          <w:rFonts w:ascii="Arial" w:eastAsia="Arial" w:hAnsi="Arial" w:cs="Arial"/>
          <w:sz w:val="20"/>
          <w:szCs w:val="20"/>
        </w:rPr>
        <w:t>-</w:t>
      </w:r>
      <w:r w:rsidRPr="002D2922">
        <w:rPr>
          <w:rFonts w:ascii="Arial" w:eastAsia="Arial" w:hAnsi="Arial" w:cs="Arial"/>
          <w:sz w:val="20"/>
          <w:szCs w:val="20"/>
        </w:rPr>
        <w:t>Mail-Adresse.</w:t>
      </w:r>
    </w:p>
    <w:p w14:paraId="7A8B84FF" w14:textId="035DF6BF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2D2922">
        <w:rPr>
          <w:rFonts w:ascii="Arial" w:eastAsia="Arial" w:hAnsi="Arial" w:cs="Arial"/>
          <w:sz w:val="20"/>
          <w:szCs w:val="20"/>
        </w:rPr>
        <w:t>.6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</w:t>
      </w:r>
      <w:r w:rsidR="00977077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ist verpflichtet, die </w:t>
      </w:r>
      <w:r w:rsidR="006B0A5A">
        <w:rPr>
          <w:rFonts w:ascii="Arial" w:eastAsia="Arial" w:hAnsi="Arial" w:cs="Arial"/>
          <w:sz w:val="20"/>
          <w:szCs w:val="20"/>
        </w:rPr>
        <w:t xml:space="preserve">formgerechten </w:t>
      </w:r>
      <w:r w:rsidRPr="002D2922">
        <w:rPr>
          <w:rFonts w:ascii="Arial" w:eastAsia="Arial" w:hAnsi="Arial" w:cs="Arial"/>
          <w:sz w:val="20"/>
          <w:szCs w:val="20"/>
        </w:rPr>
        <w:t>Endkundenerklärungen nach Übermittlung der Anfrage zum koordinierten Anbieterwechsel vorzuhalten.</w:t>
      </w:r>
    </w:p>
    <w:p w14:paraId="557A26CB" w14:textId="77777777" w:rsidR="00F94D05" w:rsidRPr="002D2922" w:rsidRDefault="00F94D05" w:rsidP="00F94D05">
      <w:pPr>
        <w:pStyle w:val="berschrift1"/>
        <w:ind w:left="0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2D2922">
        <w:rPr>
          <w:sz w:val="20"/>
          <w:szCs w:val="20"/>
        </w:rPr>
        <w:t>.</w:t>
      </w:r>
      <w:r w:rsidRPr="002D2922">
        <w:rPr>
          <w:sz w:val="20"/>
          <w:szCs w:val="20"/>
        </w:rPr>
        <w:tab/>
        <w:t xml:space="preserve">Pflichten der </w:t>
      </w:r>
      <w:r w:rsidR="00E64AC8">
        <w:rPr>
          <w:sz w:val="20"/>
          <w:szCs w:val="20"/>
        </w:rPr>
        <w:t>Vertragsparteien</w:t>
      </w:r>
      <w:r w:rsidRPr="002D2922">
        <w:rPr>
          <w:sz w:val="20"/>
          <w:szCs w:val="20"/>
        </w:rPr>
        <w:t xml:space="preserve"> als abgebender Anbieter - Nachweis</w:t>
      </w:r>
    </w:p>
    <w:p w14:paraId="4A2F12D6" w14:textId="46CFB835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wird sein Recht, den Nachweis der Endkundenerklärungen vom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zu verlangen, nicht unbillig gebrauchen, so dass der Zweck dieser Vereinbarung vereitelt wird, die Abwicklung des koordinierten Anbieterwechsels sowie der Rufnummernübertragung zu vereinfachen.</w:t>
      </w:r>
    </w:p>
    <w:p w14:paraId="0AF27476" w14:textId="41511CAE" w:rsidR="00146C67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2D2922">
        <w:rPr>
          <w:rFonts w:ascii="Arial" w:eastAsia="Arial" w:hAnsi="Arial" w:cs="Arial"/>
          <w:sz w:val="20"/>
          <w:szCs w:val="20"/>
        </w:rPr>
        <w:t>.2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Von einem unbilligen Gebrauch ist insbesondere nicht auszugehen, wenn der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den Nachweis jeweils fordert, weil sein Endkunde insbesondere in Schriftform ihm gegenüber geltend macht, den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nicht zur Übermittlung der Endkundenerklärungen an den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beauftragt oder den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nicht zu den Endkundenerklärungen gegenüber dem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bevollmächtigt zu haben (Endkundenbeschwerde). Der </w:t>
      </w:r>
      <w:r w:rsidR="003D57B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ist nicht verpflichtet zu prüfen, ob die Endkundenbeschwerde berechtigt ist.</w:t>
      </w:r>
    </w:p>
    <w:p w14:paraId="126A88BE" w14:textId="77777777" w:rsidR="00F94D05" w:rsidRPr="002D2922" w:rsidRDefault="00F94D05" w:rsidP="00F94D05">
      <w:pPr>
        <w:pStyle w:val="berschrift1"/>
        <w:ind w:left="0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2D2922">
        <w:rPr>
          <w:sz w:val="20"/>
          <w:szCs w:val="20"/>
        </w:rPr>
        <w:t>.</w:t>
      </w:r>
      <w:r w:rsidRPr="002D2922">
        <w:rPr>
          <w:sz w:val="20"/>
          <w:szCs w:val="20"/>
        </w:rPr>
        <w:tab/>
        <w:t>Scheitern des fristgerechten Nachweises über die Endkundenerklärungen</w:t>
      </w:r>
    </w:p>
    <w:p w14:paraId="1C0CAB81" w14:textId="5FC60BC9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Weist der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</w:t>
      </w:r>
      <w:r w:rsidR="006B0A5A">
        <w:rPr>
          <w:rFonts w:ascii="Arial" w:eastAsia="Arial" w:hAnsi="Arial" w:cs="Arial"/>
          <w:sz w:val="20"/>
          <w:szCs w:val="20"/>
        </w:rPr>
        <w:t xml:space="preserve">das </w:t>
      </w:r>
      <w:r w:rsidR="006B0A5A" w:rsidRPr="00356288">
        <w:rPr>
          <w:rFonts w:ascii="Arial" w:eastAsia="Arial" w:hAnsi="Arial" w:cs="Arial"/>
          <w:sz w:val="20"/>
          <w:szCs w:val="20"/>
        </w:rPr>
        <w:t>Vorliegen der formgerechten Endkundene</w:t>
      </w:r>
      <w:r w:rsidRPr="00356288">
        <w:rPr>
          <w:rFonts w:ascii="Arial" w:eastAsia="Arial" w:hAnsi="Arial" w:cs="Arial"/>
          <w:sz w:val="20"/>
          <w:szCs w:val="20"/>
        </w:rPr>
        <w:t>rklärung</w:t>
      </w:r>
      <w:r w:rsidRPr="002D2922">
        <w:rPr>
          <w:rFonts w:ascii="Arial" w:eastAsia="Arial" w:hAnsi="Arial" w:cs="Arial"/>
          <w:sz w:val="20"/>
          <w:szCs w:val="20"/>
        </w:rPr>
        <w:t xml:space="preserve"> gegenüber dem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nicht oder nicht fristgerecht nach, gehen die </w:t>
      </w:r>
      <w:r w:rsidR="00E64AC8">
        <w:rPr>
          <w:rFonts w:ascii="Arial" w:eastAsia="Arial" w:hAnsi="Arial" w:cs="Arial"/>
          <w:sz w:val="20"/>
          <w:szCs w:val="20"/>
        </w:rPr>
        <w:t>Vertragsparteien</w:t>
      </w:r>
      <w:r w:rsidRPr="002D2922">
        <w:rPr>
          <w:rFonts w:ascii="Arial" w:eastAsia="Arial" w:hAnsi="Arial" w:cs="Arial"/>
          <w:sz w:val="20"/>
          <w:szCs w:val="20"/>
        </w:rPr>
        <w:t xml:space="preserve"> davon aus, dass diese Erklärung nicht vorlieg</w:t>
      </w:r>
      <w:r w:rsidR="00356288">
        <w:rPr>
          <w:rFonts w:ascii="Arial" w:eastAsia="Arial" w:hAnsi="Arial" w:cs="Arial"/>
          <w:sz w:val="20"/>
          <w:szCs w:val="20"/>
        </w:rPr>
        <w:t>t</w:t>
      </w:r>
      <w:r w:rsidRPr="002D2922">
        <w:rPr>
          <w:rFonts w:ascii="Arial" w:eastAsia="Arial" w:hAnsi="Arial" w:cs="Arial"/>
          <w:sz w:val="20"/>
          <w:szCs w:val="20"/>
        </w:rPr>
        <w:t xml:space="preserve">. </w:t>
      </w:r>
    </w:p>
    <w:p w14:paraId="2D1C3C78" w14:textId="4BBF1049" w:rsidR="00F94D05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F73824">
        <w:rPr>
          <w:rFonts w:ascii="Arial" w:eastAsia="Arial" w:hAnsi="Arial" w:cs="Arial"/>
          <w:sz w:val="20"/>
          <w:szCs w:val="20"/>
        </w:rPr>
        <w:t>5.2</w:t>
      </w:r>
      <w:r w:rsidRPr="00F73824">
        <w:rPr>
          <w:rFonts w:ascii="Arial" w:eastAsia="Arial" w:hAnsi="Arial" w:cs="Arial"/>
          <w:sz w:val="20"/>
          <w:szCs w:val="20"/>
        </w:rPr>
        <w:tab/>
        <w:t>Sind der Anbieterwechsel und</w:t>
      </w:r>
      <w:r w:rsidR="00354685" w:rsidRPr="00F73824">
        <w:rPr>
          <w:rFonts w:ascii="Arial" w:eastAsia="Arial" w:hAnsi="Arial" w:cs="Arial"/>
          <w:sz w:val="20"/>
          <w:szCs w:val="20"/>
        </w:rPr>
        <w:t xml:space="preserve"> </w:t>
      </w:r>
      <w:r w:rsidRPr="00F73824">
        <w:rPr>
          <w:rFonts w:ascii="Arial" w:eastAsia="Arial" w:hAnsi="Arial" w:cs="Arial"/>
          <w:sz w:val="20"/>
          <w:szCs w:val="20"/>
        </w:rPr>
        <w:t>/</w:t>
      </w:r>
      <w:r w:rsidR="00354685" w:rsidRPr="00F73824">
        <w:rPr>
          <w:rFonts w:ascii="Arial" w:eastAsia="Arial" w:hAnsi="Arial" w:cs="Arial"/>
          <w:sz w:val="20"/>
          <w:szCs w:val="20"/>
        </w:rPr>
        <w:t xml:space="preserve"> </w:t>
      </w:r>
      <w:r w:rsidRPr="00F73824">
        <w:rPr>
          <w:rFonts w:ascii="Arial" w:eastAsia="Arial" w:hAnsi="Arial" w:cs="Arial"/>
          <w:sz w:val="20"/>
          <w:szCs w:val="20"/>
        </w:rPr>
        <w:t xml:space="preserve">oder die Rufnummernportierung bereits erfolgt, ist der </w:t>
      </w:r>
      <w:r w:rsidR="00354685" w:rsidRPr="00F73824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F73824">
        <w:rPr>
          <w:rFonts w:ascii="Arial" w:eastAsia="Arial" w:hAnsi="Arial" w:cs="Arial"/>
          <w:sz w:val="20"/>
          <w:szCs w:val="20"/>
        </w:rPr>
        <w:t xml:space="preserve"> verpflichtet, im Rahmen des ihm Zumutbaren an</w:t>
      </w:r>
      <w:r w:rsidR="00062372" w:rsidRPr="00F73824">
        <w:rPr>
          <w:rFonts w:ascii="Arial" w:eastAsia="Arial" w:hAnsi="Arial" w:cs="Arial"/>
          <w:sz w:val="20"/>
          <w:szCs w:val="20"/>
        </w:rPr>
        <w:t xml:space="preserve"> einer vom Endkunden gewünschten</w:t>
      </w:r>
      <w:r w:rsidRPr="00F73824">
        <w:rPr>
          <w:rFonts w:ascii="Arial" w:eastAsia="Arial" w:hAnsi="Arial" w:cs="Arial"/>
          <w:sz w:val="20"/>
          <w:szCs w:val="20"/>
        </w:rPr>
        <w:t xml:space="preserve"> Herstellung des ursprünglichen Zustands vor Übermittlung der Anfrage zum Anbieterwechsel unverzüglich mitzuwirken, insbesondere Handlungen auszuführen, die in seinem Einflussbereich vorzunehmen sind.</w:t>
      </w:r>
    </w:p>
    <w:p w14:paraId="50EA6CA7" w14:textId="254331A9" w:rsidR="00E8703B" w:rsidRPr="002D2922" w:rsidRDefault="00E8703B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14:paraId="2F48A1CF" w14:textId="72916CF6" w:rsidR="00146C67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Pr="002D2922">
        <w:rPr>
          <w:rFonts w:ascii="Arial" w:eastAsia="Arial" w:hAnsi="Arial" w:cs="Arial"/>
          <w:sz w:val="20"/>
          <w:szCs w:val="20"/>
        </w:rPr>
        <w:t>.3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Sofern in einem Kalendermonat mehr als 1 % der Anbieterwechsel mit / oder ohne Rufnummernübertragung (bis zum Erreichen einer monatlichen Menge von 2500 vom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übermittelter Anfragen gilt ein Schwellenwert von 25 Anfragen pro Kalendermonat) je Produktvertrag von dem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zum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rückgängig gemacht werden, weil die </w:t>
      </w:r>
      <w:r w:rsidR="006B0A5A">
        <w:rPr>
          <w:rFonts w:ascii="Arial" w:eastAsia="Arial" w:hAnsi="Arial" w:cs="Arial"/>
          <w:sz w:val="20"/>
          <w:szCs w:val="20"/>
        </w:rPr>
        <w:t>formgerechten</w:t>
      </w:r>
      <w:r w:rsidR="006B0A5A" w:rsidRPr="002D2922">
        <w:rPr>
          <w:rFonts w:ascii="Arial" w:eastAsia="Arial" w:hAnsi="Arial" w:cs="Arial"/>
          <w:sz w:val="20"/>
          <w:szCs w:val="20"/>
        </w:rPr>
        <w:t xml:space="preserve"> </w:t>
      </w:r>
      <w:r w:rsidRPr="002D2922">
        <w:rPr>
          <w:rFonts w:ascii="Arial" w:eastAsia="Arial" w:hAnsi="Arial" w:cs="Arial"/>
          <w:sz w:val="20"/>
          <w:szCs w:val="20"/>
        </w:rPr>
        <w:t xml:space="preserve">Endkundenerklärungen nicht nachgewiesen wurden, kann der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als Voraussetzung für die Zustimmung zum koordinierten Anbieterwechsel mit</w:t>
      </w:r>
      <w:r w:rsidRPr="002D2922">
        <w:rPr>
          <w:rFonts w:ascii="Arial" w:hAnsi="Arial" w:cs="Arial"/>
          <w:sz w:val="20"/>
          <w:szCs w:val="20"/>
        </w:rPr>
        <w:t> </w:t>
      </w:r>
      <w:r w:rsidRPr="002D2922">
        <w:rPr>
          <w:rFonts w:ascii="Arial" w:eastAsia="Arial" w:hAnsi="Arial" w:cs="Arial"/>
          <w:sz w:val="20"/>
          <w:szCs w:val="20"/>
        </w:rPr>
        <w:t xml:space="preserve">/ oder ohne Rufnummernportierung abweichend von </w:t>
      </w:r>
      <w:r w:rsidR="006B0A5A">
        <w:rPr>
          <w:rFonts w:ascii="Arial" w:eastAsia="Arial" w:hAnsi="Arial" w:cs="Arial"/>
          <w:sz w:val="20"/>
          <w:szCs w:val="20"/>
        </w:rPr>
        <w:t>Abschnitt</w:t>
      </w:r>
      <w:r w:rsidRPr="002D2922">
        <w:rPr>
          <w:rFonts w:ascii="Arial" w:eastAsia="Arial" w:hAnsi="Arial" w:cs="Arial"/>
          <w:sz w:val="20"/>
          <w:szCs w:val="20"/>
        </w:rPr>
        <w:t xml:space="preserve"> 1.2, 2. Spiegelstrich die Vorlage der </w:t>
      </w:r>
      <w:r w:rsidR="006B0A5A">
        <w:rPr>
          <w:rFonts w:ascii="Arial" w:eastAsia="Arial" w:hAnsi="Arial" w:cs="Arial"/>
          <w:sz w:val="20"/>
          <w:szCs w:val="20"/>
        </w:rPr>
        <w:t>formgerechten</w:t>
      </w:r>
      <w:r w:rsidR="006B0A5A" w:rsidRPr="002D2922">
        <w:rPr>
          <w:rFonts w:ascii="Arial" w:eastAsia="Arial" w:hAnsi="Arial" w:cs="Arial"/>
          <w:sz w:val="20"/>
          <w:szCs w:val="20"/>
        </w:rPr>
        <w:t xml:space="preserve"> </w:t>
      </w:r>
      <w:r w:rsidRPr="002D2922">
        <w:rPr>
          <w:rFonts w:ascii="Arial" w:eastAsia="Arial" w:hAnsi="Arial" w:cs="Arial"/>
          <w:sz w:val="20"/>
          <w:szCs w:val="20"/>
        </w:rPr>
        <w:t>Endkundenerklärungen fordern. Nach einer dreimonatigen Unterschreitung der 1%-Grenze findet wieder das Regelverfahren ohne vorherige Vorlage der Endkundenerklärung Anwendung.</w:t>
      </w:r>
    </w:p>
    <w:p w14:paraId="4640E0A1" w14:textId="77777777" w:rsidR="00146C67" w:rsidRDefault="00146C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074505A" w14:textId="500E1513" w:rsidR="00F94D05" w:rsidRPr="002D2922" w:rsidRDefault="00F94D05" w:rsidP="0069381D">
      <w:pPr>
        <w:pStyle w:val="berschrift1"/>
        <w:ind w:left="708" w:hanging="708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2D2922">
        <w:rPr>
          <w:sz w:val="20"/>
          <w:szCs w:val="20"/>
        </w:rPr>
        <w:t>.</w:t>
      </w:r>
      <w:r w:rsidRPr="002D2922">
        <w:rPr>
          <w:sz w:val="20"/>
          <w:szCs w:val="20"/>
        </w:rPr>
        <w:tab/>
        <w:t xml:space="preserve">Vertragsstrafe bei </w:t>
      </w:r>
      <w:r w:rsidR="00FC6563">
        <w:rPr>
          <w:sz w:val="20"/>
          <w:szCs w:val="20"/>
        </w:rPr>
        <w:t>Verstößen durch EKP</w:t>
      </w:r>
      <w:r w:rsidR="00AA0CB7" w:rsidRPr="00AA0CB7">
        <w:rPr>
          <w:sz w:val="20"/>
          <w:szCs w:val="20"/>
          <w:vertAlign w:val="subscript"/>
        </w:rPr>
        <w:t>auf</w:t>
      </w:r>
      <w:r w:rsidR="00FC6563">
        <w:rPr>
          <w:sz w:val="20"/>
          <w:szCs w:val="20"/>
        </w:rPr>
        <w:t xml:space="preserve"> </w:t>
      </w:r>
    </w:p>
    <w:p w14:paraId="593B517A" w14:textId="474B4F8C" w:rsidR="00F94D05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Die </w:t>
      </w:r>
      <w:r w:rsidR="00E64AC8">
        <w:rPr>
          <w:rFonts w:ascii="Arial" w:eastAsia="Arial" w:hAnsi="Arial" w:cs="Arial"/>
          <w:sz w:val="20"/>
          <w:szCs w:val="20"/>
        </w:rPr>
        <w:t>Vertragsparteien</w:t>
      </w:r>
      <w:r w:rsidRPr="002D2922">
        <w:rPr>
          <w:rFonts w:ascii="Arial" w:eastAsia="Arial" w:hAnsi="Arial" w:cs="Arial"/>
          <w:sz w:val="20"/>
          <w:szCs w:val="20"/>
        </w:rPr>
        <w:t xml:space="preserve"> zahlen</w:t>
      </w:r>
      <w:r w:rsidR="00354685">
        <w:rPr>
          <w:rFonts w:ascii="Arial" w:eastAsia="Arial" w:hAnsi="Arial" w:cs="Arial"/>
          <w:sz w:val="20"/>
          <w:szCs w:val="20"/>
        </w:rPr>
        <w:t xml:space="preserve"> jeweils</w:t>
      </w:r>
      <w:r w:rsidRPr="002D2922">
        <w:rPr>
          <w:rFonts w:ascii="Arial" w:eastAsia="Arial" w:hAnsi="Arial" w:cs="Arial"/>
          <w:sz w:val="20"/>
          <w:szCs w:val="20"/>
        </w:rPr>
        <w:t xml:space="preserve"> als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an den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bezogen auf den einzelnen Fall des Anbieterwechsels mit / oder ohne Rufnummernportierung für die Zuwiderhandlung gegen die in </w:t>
      </w:r>
      <w:r w:rsidR="006B0A5A">
        <w:rPr>
          <w:rFonts w:ascii="Arial" w:eastAsia="Arial" w:hAnsi="Arial" w:cs="Arial"/>
          <w:sz w:val="20"/>
          <w:szCs w:val="20"/>
        </w:rPr>
        <w:t>Abschnitt</w:t>
      </w:r>
      <w:r w:rsidRPr="002D2922">
        <w:rPr>
          <w:rFonts w:ascii="Arial" w:eastAsia="Arial" w:hAnsi="Arial" w:cs="Arial"/>
          <w:sz w:val="20"/>
          <w:szCs w:val="20"/>
        </w:rPr>
        <w:t> </w:t>
      </w:r>
      <w:r w:rsidR="00254EAB">
        <w:rPr>
          <w:rFonts w:ascii="Arial" w:eastAsia="Arial" w:hAnsi="Arial" w:cs="Arial"/>
          <w:sz w:val="20"/>
          <w:szCs w:val="20"/>
        </w:rPr>
        <w:t xml:space="preserve">3.1 bis 3.3 </w:t>
      </w:r>
      <w:r w:rsidRPr="002D2922">
        <w:rPr>
          <w:rFonts w:ascii="Arial" w:eastAsia="Arial" w:hAnsi="Arial" w:cs="Arial"/>
          <w:sz w:val="20"/>
          <w:szCs w:val="20"/>
        </w:rPr>
        <w:t>genannte</w:t>
      </w:r>
      <w:r w:rsidR="00D33988">
        <w:rPr>
          <w:rFonts w:ascii="Arial" w:eastAsia="Arial" w:hAnsi="Arial" w:cs="Arial"/>
          <w:sz w:val="20"/>
          <w:szCs w:val="20"/>
        </w:rPr>
        <w:t>n</w:t>
      </w:r>
      <w:r w:rsidRPr="002D2922">
        <w:rPr>
          <w:rFonts w:ascii="Arial" w:eastAsia="Arial" w:hAnsi="Arial" w:cs="Arial"/>
          <w:sz w:val="20"/>
          <w:szCs w:val="20"/>
        </w:rPr>
        <w:t xml:space="preserve"> Verpflichtung</w:t>
      </w:r>
      <w:r w:rsidR="00D33988">
        <w:rPr>
          <w:rFonts w:ascii="Arial" w:eastAsia="Arial" w:hAnsi="Arial" w:cs="Arial"/>
          <w:sz w:val="20"/>
          <w:szCs w:val="20"/>
        </w:rPr>
        <w:t>en</w:t>
      </w:r>
      <w:r w:rsidRPr="002D2922">
        <w:rPr>
          <w:rFonts w:ascii="Arial" w:eastAsia="Arial" w:hAnsi="Arial" w:cs="Arial"/>
          <w:sz w:val="20"/>
          <w:szCs w:val="20"/>
        </w:rPr>
        <w:t xml:space="preserve"> eine Vertragsstrafe in Höhe von 300,- EUR, es sei denn, sie haben die Zuwiderhandlung nicht zu vertreten.</w:t>
      </w:r>
    </w:p>
    <w:p w14:paraId="53B1ABC8" w14:textId="2F3778F0" w:rsidR="00C52DF9" w:rsidRPr="002D2922" w:rsidRDefault="00C52DF9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D7502D">
        <w:rPr>
          <w:rFonts w:ascii="Arial" w:eastAsia="Arial" w:hAnsi="Arial" w:cs="Arial"/>
          <w:sz w:val="20"/>
          <w:szCs w:val="20"/>
        </w:rPr>
        <w:t>.2</w:t>
      </w:r>
      <w:r w:rsidR="00D7502D">
        <w:rPr>
          <w:rFonts w:ascii="Arial" w:eastAsia="Arial" w:hAnsi="Arial" w:cs="Arial"/>
          <w:sz w:val="20"/>
          <w:szCs w:val="20"/>
        </w:rPr>
        <w:tab/>
      </w:r>
      <w:r w:rsidR="00D7502D" w:rsidRPr="00560542">
        <w:rPr>
          <w:rFonts w:ascii="Arial" w:eastAsia="Arial" w:hAnsi="Arial" w:cs="Arial"/>
          <w:color w:val="auto"/>
          <w:sz w:val="20"/>
          <w:szCs w:val="20"/>
        </w:rPr>
        <w:t>Führt der EKP</w:t>
      </w:r>
      <w:r w:rsidR="00AA0CB7" w:rsidRPr="00AA0CB7">
        <w:rPr>
          <w:rFonts w:ascii="Arial" w:eastAsia="Arial" w:hAnsi="Arial" w:cs="Arial"/>
          <w:color w:val="auto"/>
          <w:sz w:val="20"/>
          <w:szCs w:val="20"/>
          <w:vertAlign w:val="subscript"/>
        </w:rPr>
        <w:t>auf</w:t>
      </w:r>
      <w:r w:rsidR="00D7502D" w:rsidRPr="00560542">
        <w:rPr>
          <w:rFonts w:ascii="Arial" w:eastAsia="Arial" w:hAnsi="Arial" w:cs="Arial"/>
          <w:color w:val="auto"/>
          <w:sz w:val="20"/>
          <w:szCs w:val="20"/>
        </w:rPr>
        <w:t xml:space="preserve"> eine erneute Vorabstimmungsanfrage nach berechtigter Ablehnung</w:t>
      </w:r>
      <w:r w:rsidR="00B159D8">
        <w:rPr>
          <w:rFonts w:ascii="Arial" w:eastAsia="Arial" w:hAnsi="Arial" w:cs="Arial"/>
          <w:color w:val="auto"/>
          <w:sz w:val="20"/>
          <w:szCs w:val="20"/>
        </w:rPr>
        <w:t xml:space="preserve"> (berechtigte Ableh</w:t>
      </w:r>
      <w:r w:rsidR="000A2FA8">
        <w:rPr>
          <w:rFonts w:ascii="Arial" w:eastAsia="Arial" w:hAnsi="Arial" w:cs="Arial"/>
          <w:color w:val="auto"/>
          <w:sz w:val="20"/>
          <w:szCs w:val="20"/>
        </w:rPr>
        <w:t xml:space="preserve">nung: Meldung dass der Endkunde den Wechselwunsch zurückgezogen hat) </w:t>
      </w:r>
      <w:r w:rsidR="00D7502D" w:rsidRPr="00560542">
        <w:rPr>
          <w:rFonts w:ascii="Arial" w:eastAsia="Arial" w:hAnsi="Arial" w:cs="Arial"/>
          <w:color w:val="auto"/>
          <w:sz w:val="20"/>
          <w:szCs w:val="20"/>
        </w:rPr>
        <w:t xml:space="preserve"> durch EKP</w:t>
      </w:r>
      <w:r w:rsidR="00AA0CB7" w:rsidRPr="00AA0CB7">
        <w:rPr>
          <w:rFonts w:ascii="Arial" w:eastAsia="Arial" w:hAnsi="Arial" w:cs="Arial"/>
          <w:color w:val="auto"/>
          <w:sz w:val="20"/>
          <w:szCs w:val="20"/>
          <w:vertAlign w:val="subscript"/>
        </w:rPr>
        <w:t>abg</w:t>
      </w:r>
      <w:r w:rsidR="00D7502D" w:rsidRPr="00560542">
        <w:rPr>
          <w:rFonts w:ascii="Arial" w:eastAsia="Arial" w:hAnsi="Arial" w:cs="Arial"/>
          <w:color w:val="auto"/>
          <w:sz w:val="20"/>
          <w:szCs w:val="20"/>
        </w:rPr>
        <w:t xml:space="preserve">, ohne vom Kunden erneut ordnungsgemäß beauftragt worden zu sein, stellt </w:t>
      </w:r>
      <w:r w:rsidR="002773C6">
        <w:rPr>
          <w:rFonts w:ascii="Arial" w:eastAsia="Arial" w:hAnsi="Arial" w:cs="Arial"/>
          <w:color w:val="auto"/>
          <w:sz w:val="20"/>
          <w:szCs w:val="20"/>
        </w:rPr>
        <w:t xml:space="preserve">diese </w:t>
      </w:r>
      <w:r w:rsidR="00D7502D" w:rsidRPr="00560542">
        <w:rPr>
          <w:rFonts w:ascii="Arial" w:eastAsia="Arial" w:hAnsi="Arial" w:cs="Arial"/>
          <w:color w:val="auto"/>
          <w:sz w:val="20"/>
          <w:szCs w:val="20"/>
        </w:rPr>
        <w:t>Vorabstimmungsanfra</w:t>
      </w:r>
      <w:r w:rsidR="00FC3B6B" w:rsidRPr="00560542">
        <w:rPr>
          <w:rFonts w:ascii="Arial" w:eastAsia="Arial" w:hAnsi="Arial" w:cs="Arial"/>
          <w:color w:val="auto"/>
          <w:sz w:val="20"/>
          <w:szCs w:val="20"/>
        </w:rPr>
        <w:t>ge, die erfolgt, ohne dass ein</w:t>
      </w:r>
      <w:r w:rsidR="00254EAB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D7502D" w:rsidRPr="00560542">
        <w:rPr>
          <w:rFonts w:ascii="Arial" w:eastAsia="Arial" w:hAnsi="Arial" w:cs="Arial"/>
          <w:color w:val="auto"/>
          <w:sz w:val="20"/>
          <w:szCs w:val="20"/>
        </w:rPr>
        <w:t>ordnungsgemäße</w:t>
      </w:r>
      <w:r w:rsidR="00FC3B6B" w:rsidRPr="00560542">
        <w:rPr>
          <w:rFonts w:ascii="Arial" w:eastAsia="Arial" w:hAnsi="Arial" w:cs="Arial"/>
          <w:color w:val="auto"/>
          <w:sz w:val="20"/>
          <w:szCs w:val="20"/>
        </w:rPr>
        <w:t>r Anbieterwechselauftrag</w:t>
      </w:r>
      <w:r w:rsidR="00D7502D" w:rsidRPr="0056054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D7502D" w:rsidRPr="00FC6563">
        <w:rPr>
          <w:rFonts w:ascii="Arial" w:eastAsia="Arial" w:hAnsi="Arial" w:cs="Arial"/>
          <w:color w:val="auto"/>
          <w:sz w:val="20"/>
          <w:szCs w:val="20"/>
        </w:rPr>
        <w:t>des Kunden vorliegt, eine erneute Zuwiderhandlung dar, die gemäß Ziff. 6.1 jeweils für sich genommen strafbewehrt ist</w:t>
      </w:r>
    </w:p>
    <w:p w14:paraId="6217F82A" w14:textId="65733403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Pr="002D2922">
        <w:rPr>
          <w:rFonts w:ascii="Arial" w:eastAsia="Arial" w:hAnsi="Arial" w:cs="Arial"/>
          <w:sz w:val="20"/>
          <w:szCs w:val="20"/>
        </w:rPr>
        <w:t>.</w:t>
      </w:r>
      <w:r w:rsidR="00F400AA">
        <w:rPr>
          <w:rFonts w:ascii="Arial" w:eastAsia="Arial" w:hAnsi="Arial" w:cs="Arial"/>
          <w:sz w:val="20"/>
          <w:szCs w:val="20"/>
        </w:rPr>
        <w:t>3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Schadensersatzansprüche und der Anspruch auf Freistellung des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bleiben von den Regelungen des vorstehenden Absatzes 6.1 unberührt.</w:t>
      </w:r>
    </w:p>
    <w:p w14:paraId="4C983B4C" w14:textId="7E27692C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Pr="002D2922">
        <w:rPr>
          <w:rFonts w:ascii="Arial" w:eastAsia="Arial" w:hAnsi="Arial" w:cs="Arial"/>
          <w:sz w:val="20"/>
          <w:szCs w:val="20"/>
        </w:rPr>
        <w:t>.</w:t>
      </w:r>
      <w:r w:rsidR="00F400AA">
        <w:rPr>
          <w:rFonts w:ascii="Arial" w:eastAsia="Arial" w:hAnsi="Arial" w:cs="Arial"/>
          <w:sz w:val="20"/>
          <w:szCs w:val="20"/>
        </w:rPr>
        <w:t>4</w:t>
      </w:r>
      <w:r w:rsidRPr="002D2922">
        <w:rPr>
          <w:rFonts w:ascii="Arial" w:eastAsia="Arial" w:hAnsi="Arial" w:cs="Arial"/>
          <w:sz w:val="20"/>
          <w:szCs w:val="20"/>
        </w:rPr>
        <w:tab/>
        <w:t>Bezogen auf den einzelnen Fall des koordinierten Anbieterwechsels und</w:t>
      </w:r>
      <w:r w:rsidR="00354685">
        <w:rPr>
          <w:rFonts w:ascii="Arial" w:eastAsia="Arial" w:hAnsi="Arial" w:cs="Arial"/>
          <w:sz w:val="20"/>
          <w:szCs w:val="20"/>
        </w:rPr>
        <w:t xml:space="preserve"> </w:t>
      </w:r>
      <w:r w:rsidRPr="002D2922">
        <w:rPr>
          <w:rFonts w:ascii="Arial" w:eastAsia="Arial" w:hAnsi="Arial" w:cs="Arial"/>
          <w:sz w:val="20"/>
          <w:szCs w:val="20"/>
        </w:rPr>
        <w:t>/</w:t>
      </w:r>
      <w:r w:rsidR="00354685">
        <w:rPr>
          <w:rFonts w:ascii="Arial" w:eastAsia="Arial" w:hAnsi="Arial" w:cs="Arial"/>
          <w:sz w:val="20"/>
          <w:szCs w:val="20"/>
        </w:rPr>
        <w:t xml:space="preserve"> </w:t>
      </w:r>
      <w:r w:rsidRPr="002D2922">
        <w:rPr>
          <w:rFonts w:ascii="Arial" w:eastAsia="Arial" w:hAnsi="Arial" w:cs="Arial"/>
          <w:sz w:val="20"/>
          <w:szCs w:val="20"/>
        </w:rPr>
        <w:t xml:space="preserve">oder der Rufnummernportierung wird eine vom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zu zahlende Vertragsstrafe auf einen Schadensersatzanspruch des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angerechnet.</w:t>
      </w:r>
    </w:p>
    <w:p w14:paraId="0727BCDD" w14:textId="77777777" w:rsidR="00F94D05" w:rsidRPr="002D2922" w:rsidRDefault="00F94D05" w:rsidP="00F94D05">
      <w:pPr>
        <w:pStyle w:val="berschrift1"/>
        <w:ind w:left="0" w:firstLine="0"/>
        <w:rPr>
          <w:sz w:val="20"/>
          <w:szCs w:val="20"/>
        </w:rPr>
      </w:pPr>
      <w:r>
        <w:rPr>
          <w:sz w:val="20"/>
          <w:szCs w:val="20"/>
        </w:rPr>
        <w:t>7</w:t>
      </w:r>
      <w:r w:rsidRPr="002D2922">
        <w:rPr>
          <w:sz w:val="20"/>
          <w:szCs w:val="20"/>
        </w:rPr>
        <w:t>.</w:t>
      </w:r>
      <w:r w:rsidRPr="002D2922">
        <w:rPr>
          <w:sz w:val="20"/>
          <w:szCs w:val="20"/>
        </w:rPr>
        <w:tab/>
        <w:t>Freistellung</w:t>
      </w:r>
    </w:p>
    <w:p w14:paraId="1A850D21" w14:textId="025D6125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  <w:t>Sind der Anbieterwechsel und</w:t>
      </w:r>
      <w:r w:rsidR="00354685">
        <w:rPr>
          <w:rFonts w:ascii="Arial" w:eastAsia="Arial" w:hAnsi="Arial" w:cs="Arial"/>
          <w:sz w:val="20"/>
          <w:szCs w:val="20"/>
        </w:rPr>
        <w:t xml:space="preserve"> </w:t>
      </w:r>
      <w:r w:rsidRPr="002D2922">
        <w:rPr>
          <w:rFonts w:ascii="Arial" w:eastAsia="Arial" w:hAnsi="Arial" w:cs="Arial"/>
          <w:sz w:val="20"/>
          <w:szCs w:val="20"/>
        </w:rPr>
        <w:t>/</w:t>
      </w:r>
      <w:r w:rsidR="00354685">
        <w:rPr>
          <w:rFonts w:ascii="Arial" w:eastAsia="Arial" w:hAnsi="Arial" w:cs="Arial"/>
          <w:sz w:val="20"/>
          <w:szCs w:val="20"/>
        </w:rPr>
        <w:t xml:space="preserve"> </w:t>
      </w:r>
      <w:r w:rsidRPr="002D2922">
        <w:rPr>
          <w:rFonts w:ascii="Arial" w:eastAsia="Arial" w:hAnsi="Arial" w:cs="Arial"/>
          <w:sz w:val="20"/>
          <w:szCs w:val="20"/>
        </w:rPr>
        <w:t xml:space="preserve">oder die Rufnummernportierung erfolgt, obwohl entgegen der Zusicherung gemäß der </w:t>
      </w:r>
      <w:r w:rsidR="006B0A5A">
        <w:rPr>
          <w:rFonts w:ascii="Arial" w:eastAsia="Arial" w:hAnsi="Arial" w:cs="Arial"/>
          <w:sz w:val="20"/>
          <w:szCs w:val="20"/>
        </w:rPr>
        <w:t>Abschnitt</w:t>
      </w:r>
      <w:r w:rsidRPr="00F81A02">
        <w:rPr>
          <w:rFonts w:ascii="Arial" w:eastAsia="Arial" w:hAnsi="Arial" w:cs="Arial"/>
          <w:sz w:val="20"/>
          <w:szCs w:val="20"/>
        </w:rPr>
        <w:t> 2.1 und 2.2 des</w:t>
      </w:r>
      <w:r w:rsidRPr="002D2922">
        <w:rPr>
          <w:rFonts w:ascii="Arial" w:eastAsia="Arial" w:hAnsi="Arial" w:cs="Arial"/>
          <w:sz w:val="20"/>
          <w:szCs w:val="20"/>
        </w:rPr>
        <w:t xml:space="preserve"> </w:t>
      </w:r>
      <w:r w:rsidR="006B0A5A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keine </w:t>
      </w:r>
      <w:r w:rsidR="006B0A5A">
        <w:rPr>
          <w:rFonts w:ascii="Arial" w:eastAsia="Arial" w:hAnsi="Arial" w:cs="Arial"/>
          <w:sz w:val="20"/>
          <w:szCs w:val="20"/>
        </w:rPr>
        <w:t xml:space="preserve">formgerechten Endkundenerklärungen </w:t>
      </w:r>
      <w:r w:rsidR="00146C67" w:rsidRPr="002D2922">
        <w:rPr>
          <w:rFonts w:ascii="Arial" w:eastAsia="Arial" w:hAnsi="Arial" w:cs="Arial"/>
          <w:sz w:val="20"/>
          <w:szCs w:val="20"/>
        </w:rPr>
        <w:t>bzw.</w:t>
      </w:r>
      <w:r w:rsidRPr="002D2922">
        <w:rPr>
          <w:rFonts w:ascii="Arial" w:eastAsia="Arial" w:hAnsi="Arial" w:cs="Arial"/>
          <w:sz w:val="20"/>
          <w:szCs w:val="20"/>
        </w:rPr>
        <w:t xml:space="preserve">, gegenüber dem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vorlag, haftet der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für alle beim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und dem Endkunden dadurch entstehenden Schäden, es sei denn, der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auf</w:t>
      </w:r>
      <w:r w:rsidRPr="002D2922">
        <w:rPr>
          <w:rFonts w:ascii="Arial" w:eastAsia="Arial" w:hAnsi="Arial" w:cs="Arial"/>
          <w:sz w:val="20"/>
          <w:szCs w:val="20"/>
        </w:rPr>
        <w:t xml:space="preserve"> hat die Übermittlung der Anfrage zum Anbieterwechsel und / oder zur Rufnummernportierung nicht zu vertreten.</w:t>
      </w:r>
    </w:p>
    <w:p w14:paraId="7D557038" w14:textId="645D3879" w:rsidR="00F94D05" w:rsidRPr="002D2922" w:rsidRDefault="00F94D05" w:rsidP="00F94D0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Pr="002D2922">
        <w:rPr>
          <w:rFonts w:ascii="Arial" w:eastAsia="Arial" w:hAnsi="Arial" w:cs="Arial"/>
          <w:sz w:val="20"/>
          <w:szCs w:val="20"/>
        </w:rPr>
        <w:t>.2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Darüber hinaus stellt der aufnehmende Anbieter den </w:t>
      </w:r>
      <w:r w:rsidR="00354685" w:rsidRPr="002D2922">
        <w:rPr>
          <w:rFonts w:ascii="Arial" w:eastAsia="Arial" w:hAnsi="Arial" w:cs="Arial"/>
          <w:sz w:val="20"/>
          <w:szCs w:val="20"/>
        </w:rPr>
        <w:t>EKP</w:t>
      </w:r>
      <w:r w:rsidR="00AA0CB7" w:rsidRPr="00AA0CB7">
        <w:rPr>
          <w:rFonts w:ascii="Arial" w:eastAsia="Arial" w:hAnsi="Arial" w:cs="Arial"/>
          <w:sz w:val="20"/>
          <w:szCs w:val="20"/>
          <w:vertAlign w:val="subscript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 xml:space="preserve"> von allen Forderungen Dritter frei, die sich aus den unter dem vorstehenden Absatz beschriebenen Sachverhalten ergeben.</w:t>
      </w:r>
    </w:p>
    <w:p w14:paraId="51BF0E40" w14:textId="77777777" w:rsidR="00F94D05" w:rsidRPr="002D2922" w:rsidRDefault="00F94D05" w:rsidP="00F94D05">
      <w:pPr>
        <w:pStyle w:val="berschrift1"/>
        <w:ind w:left="0" w:firstLine="0"/>
        <w:rPr>
          <w:sz w:val="20"/>
          <w:szCs w:val="20"/>
        </w:rPr>
      </w:pPr>
      <w:r>
        <w:rPr>
          <w:sz w:val="20"/>
          <w:szCs w:val="20"/>
        </w:rPr>
        <w:t>8</w:t>
      </w:r>
      <w:r w:rsidRPr="002D2922">
        <w:rPr>
          <w:sz w:val="20"/>
          <w:szCs w:val="20"/>
        </w:rPr>
        <w:t>.</w:t>
      </w:r>
      <w:r w:rsidRPr="002D2922">
        <w:rPr>
          <w:sz w:val="20"/>
          <w:szCs w:val="20"/>
        </w:rPr>
        <w:tab/>
        <w:t>Haftung, Schadensersatz</w:t>
      </w:r>
    </w:p>
    <w:p w14:paraId="29929B79" w14:textId="7BD1EA3F" w:rsidR="00F94D05" w:rsidRPr="002D2922" w:rsidRDefault="00F94D05" w:rsidP="00354685">
      <w:pPr>
        <w:spacing w:after="6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Pr="002D2922">
        <w:rPr>
          <w:rFonts w:ascii="Arial" w:eastAsia="Arial" w:hAnsi="Arial" w:cs="Arial"/>
          <w:sz w:val="20"/>
          <w:szCs w:val="20"/>
        </w:rPr>
        <w:t>.1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Schadensersatzanspruch des </w:t>
      </w:r>
      <w:r w:rsidR="00AA0CB7" w:rsidRPr="00AA0CB7">
        <w:rPr>
          <w:rFonts w:ascii="Arial" w:eastAsia="Arial" w:hAnsi="Arial" w:cs="Arial"/>
          <w:sz w:val="20"/>
          <w:szCs w:val="20"/>
        </w:rPr>
        <w:t>abg</w:t>
      </w:r>
      <w:r w:rsidRPr="002D2922">
        <w:rPr>
          <w:rFonts w:ascii="Arial" w:eastAsia="Arial" w:hAnsi="Arial" w:cs="Arial"/>
          <w:sz w:val="20"/>
          <w:szCs w:val="20"/>
        </w:rPr>
        <w:t>ebenden Anbieters umfasst dessen eigenen Schaden, den Schaden des Endkunden und den Schaden Dritter.</w:t>
      </w:r>
    </w:p>
    <w:p w14:paraId="0C9E0E48" w14:textId="41F64BCB" w:rsidR="005D3132" w:rsidRPr="00146C67" w:rsidRDefault="00F94D05" w:rsidP="00146C67">
      <w:pPr>
        <w:spacing w:after="60"/>
        <w:ind w:left="567" w:hanging="567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Pr="002D2922">
        <w:rPr>
          <w:rFonts w:ascii="Arial" w:eastAsia="Arial" w:hAnsi="Arial" w:cs="Arial"/>
          <w:sz w:val="20"/>
          <w:szCs w:val="20"/>
        </w:rPr>
        <w:t>.2</w:t>
      </w:r>
      <w:r w:rsidRPr="002D2922">
        <w:rPr>
          <w:rFonts w:ascii="Arial" w:eastAsia="Arial" w:hAnsi="Arial" w:cs="Arial"/>
          <w:sz w:val="20"/>
          <w:szCs w:val="20"/>
        </w:rPr>
        <w:tab/>
        <w:t xml:space="preserve">Der aufnehmende Anbieter wird dem abgebenden Anbieter daher die an den betroffenen Endkunden oder Dritte auf Grund einer rechtlichen Verpflichtung gezahlten Beträge ersetzen, soweit der aufnehmende Anbieter dafür gemäß der </w:t>
      </w:r>
      <w:r w:rsidR="006B0A5A">
        <w:rPr>
          <w:rFonts w:ascii="Arial" w:eastAsia="Arial" w:hAnsi="Arial" w:cs="Arial"/>
          <w:sz w:val="20"/>
          <w:szCs w:val="20"/>
        </w:rPr>
        <w:t>Abschnitt</w:t>
      </w:r>
      <w:r w:rsidRPr="002D2922">
        <w:rPr>
          <w:rFonts w:ascii="Arial" w:eastAsia="Arial" w:hAnsi="Arial" w:cs="Arial"/>
          <w:sz w:val="20"/>
          <w:szCs w:val="20"/>
        </w:rPr>
        <w:t> 7.1 einzutreten hat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sectPr w:rsidR="005D3132" w:rsidRPr="00146C67" w:rsidSect="00146C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2A02" w14:textId="77777777" w:rsidR="00A32FD6" w:rsidRDefault="00A32FD6" w:rsidP="005A45B5">
      <w:r>
        <w:separator/>
      </w:r>
    </w:p>
  </w:endnote>
  <w:endnote w:type="continuationSeparator" w:id="0">
    <w:p w14:paraId="7DD0BCF4" w14:textId="77777777" w:rsidR="00A32FD6" w:rsidRDefault="00A32FD6" w:rsidP="005A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A6C4" w14:textId="5387DA4D" w:rsidR="005A45B5" w:rsidRPr="005A45B5" w:rsidRDefault="005A45B5" w:rsidP="005A45B5">
    <w:pPr>
      <w:pStyle w:val="Fuzeile"/>
    </w:pPr>
    <w:r>
      <w:t xml:space="preserve">Version </w:t>
    </w:r>
    <w:r w:rsidR="00164876">
      <w:t>2.0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865EBE">
      <w:rPr>
        <w:noProof/>
      </w:rPr>
      <w:t>2</w:t>
    </w:r>
    <w:r>
      <w:fldChar w:fldCharType="end"/>
    </w:r>
    <w:r>
      <w:ptab w:relativeTo="margin" w:alignment="right" w:leader="none"/>
    </w:r>
    <w:r w:rsidR="00164876">
      <w:t>01.12.2021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17328" w14:textId="77777777" w:rsidR="00A32FD6" w:rsidRDefault="00A32FD6" w:rsidP="005A45B5">
      <w:r>
        <w:separator/>
      </w:r>
    </w:p>
  </w:footnote>
  <w:footnote w:type="continuationSeparator" w:id="0">
    <w:p w14:paraId="7581423C" w14:textId="77777777" w:rsidR="00A32FD6" w:rsidRDefault="00A32FD6" w:rsidP="005A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6D81"/>
    <w:multiLevelType w:val="hybridMultilevel"/>
    <w:tmpl w:val="57E68D0E"/>
    <w:lvl w:ilvl="0" w:tplc="62D4D80E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5"/>
    <w:rsid w:val="00012F2D"/>
    <w:rsid w:val="00022E40"/>
    <w:rsid w:val="00043D20"/>
    <w:rsid w:val="00062372"/>
    <w:rsid w:val="00094078"/>
    <w:rsid w:val="0009770D"/>
    <w:rsid w:val="000A1955"/>
    <w:rsid w:val="000A2FA8"/>
    <w:rsid w:val="000F3C9C"/>
    <w:rsid w:val="00111EC9"/>
    <w:rsid w:val="00141E31"/>
    <w:rsid w:val="00146C67"/>
    <w:rsid w:val="001564D3"/>
    <w:rsid w:val="00161A0B"/>
    <w:rsid w:val="00164876"/>
    <w:rsid w:val="00195E6F"/>
    <w:rsid w:val="001F58F5"/>
    <w:rsid w:val="00224901"/>
    <w:rsid w:val="00226721"/>
    <w:rsid w:val="0024390D"/>
    <w:rsid w:val="00254EAB"/>
    <w:rsid w:val="002773C6"/>
    <w:rsid w:val="002E3D6D"/>
    <w:rsid w:val="002F6B3A"/>
    <w:rsid w:val="00317E99"/>
    <w:rsid w:val="0035379B"/>
    <w:rsid w:val="00354685"/>
    <w:rsid w:val="00356288"/>
    <w:rsid w:val="00363818"/>
    <w:rsid w:val="0036419F"/>
    <w:rsid w:val="00377058"/>
    <w:rsid w:val="00383849"/>
    <w:rsid w:val="003B00A6"/>
    <w:rsid w:val="003B256C"/>
    <w:rsid w:val="003B76B2"/>
    <w:rsid w:val="003D37C1"/>
    <w:rsid w:val="003D57B5"/>
    <w:rsid w:val="00414E4D"/>
    <w:rsid w:val="00422900"/>
    <w:rsid w:val="004249C8"/>
    <w:rsid w:val="0046208A"/>
    <w:rsid w:val="00475534"/>
    <w:rsid w:val="004A152B"/>
    <w:rsid w:val="004C2C46"/>
    <w:rsid w:val="004F389E"/>
    <w:rsid w:val="004F492C"/>
    <w:rsid w:val="00556048"/>
    <w:rsid w:val="00560542"/>
    <w:rsid w:val="00561818"/>
    <w:rsid w:val="00574523"/>
    <w:rsid w:val="005818DA"/>
    <w:rsid w:val="005922CB"/>
    <w:rsid w:val="00596DA0"/>
    <w:rsid w:val="005A45B5"/>
    <w:rsid w:val="005A5AD0"/>
    <w:rsid w:val="005B2CC0"/>
    <w:rsid w:val="005D2A1A"/>
    <w:rsid w:val="005D3132"/>
    <w:rsid w:val="005D795D"/>
    <w:rsid w:val="005F469B"/>
    <w:rsid w:val="006353D2"/>
    <w:rsid w:val="00637901"/>
    <w:rsid w:val="00652A8F"/>
    <w:rsid w:val="00654828"/>
    <w:rsid w:val="00662384"/>
    <w:rsid w:val="006820FE"/>
    <w:rsid w:val="0069381D"/>
    <w:rsid w:val="00693B92"/>
    <w:rsid w:val="006A1215"/>
    <w:rsid w:val="006B0A5A"/>
    <w:rsid w:val="006C1F12"/>
    <w:rsid w:val="006F0AC8"/>
    <w:rsid w:val="007220EC"/>
    <w:rsid w:val="00733C0B"/>
    <w:rsid w:val="007444FF"/>
    <w:rsid w:val="00784472"/>
    <w:rsid w:val="00792DBB"/>
    <w:rsid w:val="007A7036"/>
    <w:rsid w:val="007D4DC0"/>
    <w:rsid w:val="007D7614"/>
    <w:rsid w:val="007E743E"/>
    <w:rsid w:val="007F4773"/>
    <w:rsid w:val="007F7D5A"/>
    <w:rsid w:val="00811E2D"/>
    <w:rsid w:val="00821E11"/>
    <w:rsid w:val="0082314A"/>
    <w:rsid w:val="00824500"/>
    <w:rsid w:val="00865EBE"/>
    <w:rsid w:val="008705A7"/>
    <w:rsid w:val="008840D2"/>
    <w:rsid w:val="008B325B"/>
    <w:rsid w:val="008C0A5E"/>
    <w:rsid w:val="008C771D"/>
    <w:rsid w:val="008D4F9F"/>
    <w:rsid w:val="008E5C6C"/>
    <w:rsid w:val="008E60B1"/>
    <w:rsid w:val="008E6708"/>
    <w:rsid w:val="009127D6"/>
    <w:rsid w:val="009422B6"/>
    <w:rsid w:val="009431AF"/>
    <w:rsid w:val="00977077"/>
    <w:rsid w:val="00987362"/>
    <w:rsid w:val="00992B87"/>
    <w:rsid w:val="009961A0"/>
    <w:rsid w:val="009D2473"/>
    <w:rsid w:val="009D3F08"/>
    <w:rsid w:val="009E1EB4"/>
    <w:rsid w:val="009E5F65"/>
    <w:rsid w:val="00A1748A"/>
    <w:rsid w:val="00A32FD6"/>
    <w:rsid w:val="00A357F3"/>
    <w:rsid w:val="00A45619"/>
    <w:rsid w:val="00A5058E"/>
    <w:rsid w:val="00A62F08"/>
    <w:rsid w:val="00A759C5"/>
    <w:rsid w:val="00A90604"/>
    <w:rsid w:val="00A94DFA"/>
    <w:rsid w:val="00AA0CB7"/>
    <w:rsid w:val="00AA6A6A"/>
    <w:rsid w:val="00AC4D4F"/>
    <w:rsid w:val="00AD67DA"/>
    <w:rsid w:val="00B06409"/>
    <w:rsid w:val="00B118EC"/>
    <w:rsid w:val="00B159D8"/>
    <w:rsid w:val="00B26EA6"/>
    <w:rsid w:val="00B37E52"/>
    <w:rsid w:val="00B4669B"/>
    <w:rsid w:val="00B766E8"/>
    <w:rsid w:val="00B84F7A"/>
    <w:rsid w:val="00BC7BE2"/>
    <w:rsid w:val="00BE54FB"/>
    <w:rsid w:val="00BE7AE2"/>
    <w:rsid w:val="00C10E76"/>
    <w:rsid w:val="00C335AB"/>
    <w:rsid w:val="00C421F2"/>
    <w:rsid w:val="00C43AD7"/>
    <w:rsid w:val="00C52DF9"/>
    <w:rsid w:val="00C6481B"/>
    <w:rsid w:val="00C845BF"/>
    <w:rsid w:val="00C87E83"/>
    <w:rsid w:val="00C96669"/>
    <w:rsid w:val="00CA5D90"/>
    <w:rsid w:val="00CD5C20"/>
    <w:rsid w:val="00D101D7"/>
    <w:rsid w:val="00D33988"/>
    <w:rsid w:val="00D36759"/>
    <w:rsid w:val="00D7502D"/>
    <w:rsid w:val="00D876AD"/>
    <w:rsid w:val="00D90E0B"/>
    <w:rsid w:val="00D90EBE"/>
    <w:rsid w:val="00DD67F3"/>
    <w:rsid w:val="00DE03F8"/>
    <w:rsid w:val="00DE3977"/>
    <w:rsid w:val="00E07B74"/>
    <w:rsid w:val="00E344D1"/>
    <w:rsid w:val="00E36062"/>
    <w:rsid w:val="00E64AC8"/>
    <w:rsid w:val="00E8703B"/>
    <w:rsid w:val="00EA7109"/>
    <w:rsid w:val="00F0759E"/>
    <w:rsid w:val="00F141E7"/>
    <w:rsid w:val="00F144AB"/>
    <w:rsid w:val="00F400AA"/>
    <w:rsid w:val="00F64EB5"/>
    <w:rsid w:val="00F73824"/>
    <w:rsid w:val="00F81A02"/>
    <w:rsid w:val="00F867C7"/>
    <w:rsid w:val="00F94D05"/>
    <w:rsid w:val="00F96FF2"/>
    <w:rsid w:val="00FC331F"/>
    <w:rsid w:val="00FC3B6B"/>
    <w:rsid w:val="00FC6563"/>
    <w:rsid w:val="00FD1706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C2703"/>
  <w15:docId w15:val="{0DCC37EB-BF57-4866-9078-30BBE530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D05"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F94D05"/>
    <w:pPr>
      <w:spacing w:before="360" w:after="360"/>
      <w:ind w:left="851" w:hanging="851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F94D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94D05"/>
    <w:rPr>
      <w:sz w:val="20"/>
      <w:szCs w:val="20"/>
    </w:rPr>
  </w:style>
  <w:style w:type="character" w:customStyle="1" w:styleId="KommentartextZchn">
    <w:name w:val="Kommentartext Zchn"/>
    <w:link w:val="Kommentartext"/>
    <w:locked/>
    <w:rsid w:val="00F94D05"/>
    <w:rPr>
      <w:color w:val="000000"/>
      <w:lang w:val="de-DE" w:eastAsia="de-DE" w:bidi="ar-SA"/>
    </w:rPr>
  </w:style>
  <w:style w:type="paragraph" w:styleId="Sprechblasentext">
    <w:name w:val="Balloon Text"/>
    <w:basedOn w:val="Standard"/>
    <w:semiHidden/>
    <w:rsid w:val="00F94D05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992B87"/>
    <w:rPr>
      <w:b/>
      <w:bCs/>
    </w:rPr>
  </w:style>
  <w:style w:type="paragraph" w:styleId="Listenabsatz">
    <w:name w:val="List Paragraph"/>
    <w:basedOn w:val="Standard"/>
    <w:uiPriority w:val="34"/>
    <w:qFormat/>
    <w:rsid w:val="0046208A"/>
    <w:pPr>
      <w:ind w:left="720"/>
      <w:contextualSpacing/>
    </w:pPr>
  </w:style>
  <w:style w:type="paragraph" w:styleId="berarbeitung">
    <w:name w:val="Revision"/>
    <w:hidden/>
    <w:uiPriority w:val="99"/>
    <w:semiHidden/>
    <w:rsid w:val="006B0A5A"/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5A45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45B5"/>
    <w:rPr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A45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5B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F2DB-58E9-45E1-9142-62C561B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Vereinbarung beigefügte Vereinbarung über das besondere Verfahren für Erklärungen des Endkunden im Zusammenhang mit dem Anbieterwechsel und Rufnummernübertragung</vt:lpstr>
    </vt:vector>
  </TitlesOfParts>
  <Company>1&amp;1 Internet AG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Vereinbarung beigefügte Vereinbarung über das besondere Verfahren für Erklärungen des Endkunden im Zusammenhang mit dem Anbieterwechsel und Rufnummernübertragung</dc:title>
  <dc:creator>Andre Rochlitzer</dc:creator>
  <cp:lastModifiedBy>André Rochlitzer-Marquier</cp:lastModifiedBy>
  <cp:revision>4</cp:revision>
  <cp:lastPrinted>2018-06-11T08:09:00Z</cp:lastPrinted>
  <dcterms:created xsi:type="dcterms:W3CDTF">2021-10-29T10:41:00Z</dcterms:created>
  <dcterms:modified xsi:type="dcterms:W3CDTF">2021-11-27T17:11:00Z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_AdHocReviewCycleID">
    <vt:i4>-200168850</vt:i4>
  </property>
  <property fmtid="{D5CDD505-2E9C-101B-9397-08002B2CF9AE}" pid="4" name="_NewReviewCycle">
    <vt:lpwstr/>
  </property>
  <property fmtid="{D5CDD505-2E9C-101B-9397-08002B2CF9AE}" pid="5" name="_EmailSubject">
    <vt:lpwstr>Aktueller Stand aus dem AK Recht</vt:lpwstr>
  </property>
  <property fmtid="{D5CDD505-2E9C-101B-9397-08002B2CF9AE}" pid="6" name="_AuthorEmail">
    <vt:lpwstr>Ulrike.Woerdemann@vodafone.com</vt:lpwstr>
  </property>
  <property fmtid="{D5CDD505-2E9C-101B-9397-08002B2CF9AE}" pid="7" name="_AuthorEmailDisplayName">
    <vt:lpwstr>Woerdemann, Ulrike, Vodafone DE</vt:lpwstr>
  </property>
  <property fmtid="{D5CDD505-2E9C-101B-9397-08002B2CF9AE}" pid="8" name="_ReviewingToolsShownOnce">
    <vt:lpwstr/>
  </property>
</Properties>
</file>